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CellMar>
          <w:left w:w="0" w:type="dxa"/>
          <w:right w:w="0" w:type="dxa"/>
        </w:tblCellMar>
        <w:tblLook w:val="01E0" w:firstRow="1" w:lastRow="1" w:firstColumn="1" w:lastColumn="1" w:noHBand="0" w:noVBand="0"/>
      </w:tblPr>
      <w:tblGrid>
        <w:gridCol w:w="6804"/>
        <w:gridCol w:w="2268"/>
      </w:tblGrid>
      <w:tr w:rsidR="006F7907" w:rsidRPr="00E632E2" w14:paraId="1D5E2000" w14:textId="77777777" w:rsidTr="006F7907">
        <w:trPr>
          <w:trHeight w:hRule="exact" w:val="1418"/>
        </w:trPr>
        <w:tc>
          <w:tcPr>
            <w:tcW w:w="6804" w:type="dxa"/>
            <w:shd w:val="clear" w:color="auto" w:fill="auto"/>
            <w:vAlign w:val="center"/>
          </w:tcPr>
          <w:p w14:paraId="4B51D9E8" w14:textId="77777777" w:rsidR="006F7907" w:rsidRPr="00E632E2" w:rsidRDefault="00D61396" w:rsidP="00FD1DEF">
            <w:pPr>
              <w:pStyle w:val="EPName"/>
              <w:rPr>
                <w:lang w:val="en-GB"/>
              </w:rPr>
            </w:pPr>
            <w:bookmarkStart w:id="0" w:name="_GoBack"/>
            <w:bookmarkEnd w:id="0"/>
            <w:r w:rsidRPr="00E632E2">
              <w:rPr>
                <w:lang w:val="en-GB"/>
              </w:rPr>
              <w:t>European Parliament</w:t>
            </w:r>
          </w:p>
          <w:p w14:paraId="1E217811" w14:textId="77777777" w:rsidR="006F7907" w:rsidRPr="00E632E2" w:rsidRDefault="007245FA" w:rsidP="007245FA">
            <w:pPr>
              <w:pStyle w:val="EPTerm"/>
              <w:rPr>
                <w:rStyle w:val="HideTWBExt"/>
                <w:noProof w:val="0"/>
                <w:vanish w:val="0"/>
                <w:color w:val="auto"/>
                <w:lang w:val="en-GB"/>
              </w:rPr>
            </w:pPr>
            <w:r w:rsidRPr="00E632E2">
              <w:rPr>
                <w:lang w:val="en-GB"/>
              </w:rPr>
              <w:t>2014-2019</w:t>
            </w:r>
          </w:p>
        </w:tc>
        <w:tc>
          <w:tcPr>
            <w:tcW w:w="2268" w:type="dxa"/>
            <w:shd w:val="clear" w:color="auto" w:fill="auto"/>
          </w:tcPr>
          <w:p w14:paraId="0507F567" w14:textId="77777777" w:rsidR="006F7907" w:rsidRPr="00E632E2" w:rsidRDefault="00F4366E" w:rsidP="00896BB4">
            <w:pPr>
              <w:pStyle w:val="EPLogo"/>
            </w:pPr>
            <w:r w:rsidRPr="00E632E2">
              <w:rPr>
                <w:noProof/>
                <w:lang w:val="fr-FR" w:eastAsia="fr-FR"/>
              </w:rPr>
              <w:drawing>
                <wp:inline distT="0" distB="0" distL="0" distR="0" wp14:anchorId="1CCF0D05" wp14:editId="4E3336C8">
                  <wp:extent cx="1162050" cy="65722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657225"/>
                          </a:xfrm>
                          <a:prstGeom prst="rect">
                            <a:avLst/>
                          </a:prstGeom>
                          <a:noFill/>
                          <a:ln>
                            <a:noFill/>
                          </a:ln>
                        </pic:spPr>
                      </pic:pic>
                    </a:graphicData>
                  </a:graphic>
                </wp:inline>
              </w:drawing>
            </w:r>
          </w:p>
        </w:tc>
      </w:tr>
    </w:tbl>
    <w:p w14:paraId="3EFE6097" w14:textId="77777777" w:rsidR="00461601" w:rsidRPr="00E632E2" w:rsidRDefault="00461601" w:rsidP="00461601">
      <w:pPr>
        <w:pStyle w:val="LineTop"/>
        <w:rPr>
          <w:lang w:val="en-GB"/>
        </w:rPr>
      </w:pPr>
    </w:p>
    <w:p w14:paraId="3FCC4A5C" w14:textId="77777777" w:rsidR="00461601" w:rsidRPr="00E632E2" w:rsidRDefault="00461601" w:rsidP="00461601">
      <w:pPr>
        <w:pStyle w:val="ZCommittee"/>
        <w:rPr>
          <w:lang w:val="en-GB"/>
        </w:rPr>
      </w:pPr>
      <w:r w:rsidRPr="00E632E2">
        <w:rPr>
          <w:rStyle w:val="HideTWBExt"/>
          <w:noProof w:val="0"/>
          <w:lang w:val="en-GB"/>
        </w:rPr>
        <w:t>&lt;</w:t>
      </w:r>
      <w:r w:rsidRPr="00E632E2">
        <w:rPr>
          <w:rStyle w:val="HideTWBExt"/>
          <w:i w:val="0"/>
          <w:noProof w:val="0"/>
          <w:lang w:val="en-GB"/>
        </w:rPr>
        <w:t>Commission</w:t>
      </w:r>
      <w:r w:rsidRPr="00E632E2">
        <w:rPr>
          <w:rStyle w:val="HideTWBExt"/>
          <w:noProof w:val="0"/>
          <w:lang w:val="en-GB"/>
        </w:rPr>
        <w:t>&gt;</w:t>
      </w:r>
      <w:r w:rsidR="007245FA" w:rsidRPr="00E632E2">
        <w:rPr>
          <w:rStyle w:val="HideTWBInt"/>
          <w:lang w:val="en-GB"/>
        </w:rPr>
        <w:t>{ECON}</w:t>
      </w:r>
      <w:r w:rsidR="007245FA" w:rsidRPr="00E632E2">
        <w:rPr>
          <w:lang w:val="en-GB"/>
        </w:rPr>
        <w:t>Committee on Economic and Monetary Affairs</w:t>
      </w:r>
      <w:r w:rsidRPr="00E632E2">
        <w:rPr>
          <w:rStyle w:val="HideTWBExt"/>
          <w:noProof w:val="0"/>
          <w:lang w:val="en-GB"/>
        </w:rPr>
        <w:t>&lt;/</w:t>
      </w:r>
      <w:r w:rsidRPr="00E632E2">
        <w:rPr>
          <w:rStyle w:val="HideTWBExt"/>
          <w:i w:val="0"/>
          <w:noProof w:val="0"/>
          <w:lang w:val="en-GB"/>
        </w:rPr>
        <w:t>Commission</w:t>
      </w:r>
      <w:r w:rsidRPr="00E632E2">
        <w:rPr>
          <w:rStyle w:val="HideTWBExt"/>
          <w:noProof w:val="0"/>
          <w:lang w:val="en-GB"/>
        </w:rPr>
        <w:t>&gt;</w:t>
      </w:r>
    </w:p>
    <w:p w14:paraId="1B4D8C88" w14:textId="77777777" w:rsidR="00461601" w:rsidRPr="00E632E2" w:rsidRDefault="00461601" w:rsidP="00461601">
      <w:pPr>
        <w:pStyle w:val="LineBottom"/>
      </w:pPr>
    </w:p>
    <w:p w14:paraId="09150079" w14:textId="77777777" w:rsidR="00793EA9" w:rsidRPr="00E632E2" w:rsidRDefault="00793EA9">
      <w:pPr>
        <w:pStyle w:val="RefProc"/>
      </w:pPr>
      <w:r w:rsidRPr="00E632E2">
        <w:rPr>
          <w:rStyle w:val="HideTWBExt"/>
          <w:b w:val="0"/>
          <w:noProof w:val="0"/>
        </w:rPr>
        <w:t>&lt;</w:t>
      </w:r>
      <w:r w:rsidRPr="00E632E2">
        <w:rPr>
          <w:rStyle w:val="HideTWBExt"/>
          <w:b w:val="0"/>
          <w:caps w:val="0"/>
          <w:noProof w:val="0"/>
        </w:rPr>
        <w:t>RefProc</w:t>
      </w:r>
      <w:r w:rsidRPr="00E632E2">
        <w:rPr>
          <w:rStyle w:val="HideTWBExt"/>
          <w:b w:val="0"/>
          <w:noProof w:val="0"/>
        </w:rPr>
        <w:t>&gt;</w:t>
      </w:r>
      <w:r w:rsidR="007245FA" w:rsidRPr="00E632E2">
        <w:t>2018/0180</w:t>
      </w:r>
      <w:r w:rsidRPr="00E632E2">
        <w:rPr>
          <w:rStyle w:val="HideTWBExt"/>
          <w:b w:val="0"/>
          <w:noProof w:val="0"/>
        </w:rPr>
        <w:t>&lt;/</w:t>
      </w:r>
      <w:r w:rsidRPr="00E632E2">
        <w:rPr>
          <w:rStyle w:val="HideTWBExt"/>
          <w:b w:val="0"/>
          <w:caps w:val="0"/>
          <w:noProof w:val="0"/>
        </w:rPr>
        <w:t>RefProc</w:t>
      </w:r>
      <w:r w:rsidRPr="00E632E2">
        <w:rPr>
          <w:rStyle w:val="HideTWBExt"/>
          <w:b w:val="0"/>
          <w:noProof w:val="0"/>
        </w:rPr>
        <w:t>&gt;&lt;</w:t>
      </w:r>
      <w:r w:rsidRPr="00E632E2">
        <w:rPr>
          <w:rStyle w:val="HideTWBExt"/>
          <w:b w:val="0"/>
          <w:caps w:val="0"/>
          <w:noProof w:val="0"/>
        </w:rPr>
        <w:t>RefTypeProc</w:t>
      </w:r>
      <w:r w:rsidRPr="00E632E2">
        <w:rPr>
          <w:rStyle w:val="HideTWBExt"/>
          <w:b w:val="0"/>
          <w:noProof w:val="0"/>
        </w:rPr>
        <w:t>&gt;</w:t>
      </w:r>
      <w:r w:rsidRPr="00E632E2">
        <w:t>(COD)</w:t>
      </w:r>
      <w:r w:rsidRPr="00E632E2">
        <w:rPr>
          <w:rStyle w:val="HideTWBExt"/>
          <w:b w:val="0"/>
          <w:noProof w:val="0"/>
        </w:rPr>
        <w:t>&lt;/</w:t>
      </w:r>
      <w:r w:rsidRPr="00E632E2">
        <w:rPr>
          <w:rStyle w:val="HideTWBExt"/>
          <w:b w:val="0"/>
          <w:caps w:val="0"/>
          <w:noProof w:val="0"/>
        </w:rPr>
        <w:t>RefTypeProc</w:t>
      </w:r>
      <w:r w:rsidRPr="00E632E2">
        <w:rPr>
          <w:rStyle w:val="HideTWBExt"/>
          <w:b w:val="0"/>
          <w:noProof w:val="0"/>
        </w:rPr>
        <w:t>&gt;</w:t>
      </w:r>
    </w:p>
    <w:p w14:paraId="05BFC4E1" w14:textId="77777777" w:rsidR="00793EA9" w:rsidRPr="00E632E2" w:rsidRDefault="00793EA9">
      <w:pPr>
        <w:pStyle w:val="ZDate"/>
        <w:rPr>
          <w:lang w:val="fr-FR"/>
        </w:rPr>
      </w:pPr>
      <w:r w:rsidRPr="00E632E2">
        <w:rPr>
          <w:rStyle w:val="HideTWBExt"/>
          <w:noProof w:val="0"/>
          <w:lang w:val="fr-FR"/>
        </w:rPr>
        <w:t>&lt;Date&gt;</w:t>
      </w:r>
      <w:r w:rsidR="007245FA" w:rsidRPr="00E632E2">
        <w:rPr>
          <w:rStyle w:val="HideTWBInt"/>
          <w:lang w:val="fr-FR"/>
        </w:rPr>
        <w:t>{27/09/2018}</w:t>
      </w:r>
      <w:r w:rsidR="007245FA" w:rsidRPr="00E632E2">
        <w:rPr>
          <w:lang w:val="fr-FR"/>
        </w:rPr>
        <w:t>27.9.2018</w:t>
      </w:r>
      <w:r w:rsidRPr="00E632E2">
        <w:rPr>
          <w:rStyle w:val="HideTWBExt"/>
          <w:noProof w:val="0"/>
          <w:lang w:val="fr-FR"/>
        </w:rPr>
        <w:t>&lt;/Date&gt;</w:t>
      </w:r>
    </w:p>
    <w:p w14:paraId="28F09194" w14:textId="77777777" w:rsidR="00793EA9" w:rsidRPr="00E632E2" w:rsidRDefault="00793EA9">
      <w:pPr>
        <w:pStyle w:val="StarsAndIs"/>
        <w:rPr>
          <w:lang w:val="fr-FR"/>
        </w:rPr>
      </w:pPr>
      <w:r w:rsidRPr="00E632E2">
        <w:rPr>
          <w:rStyle w:val="HideTWBExt"/>
          <w:b w:val="0"/>
          <w:noProof w:val="0"/>
          <w:lang w:val="fr-FR"/>
        </w:rPr>
        <w:t>&lt;RefProcLect&gt;</w:t>
      </w:r>
      <w:r w:rsidRPr="00E632E2">
        <w:rPr>
          <w:lang w:val="fr-FR"/>
        </w:rPr>
        <w:t>***I</w:t>
      </w:r>
      <w:r w:rsidRPr="00E632E2">
        <w:rPr>
          <w:rStyle w:val="HideTWBExt"/>
          <w:b w:val="0"/>
          <w:noProof w:val="0"/>
          <w:lang w:val="fr-FR"/>
        </w:rPr>
        <w:t>&lt;/RefProcLect&gt;</w:t>
      </w:r>
    </w:p>
    <w:p w14:paraId="300DAA31" w14:textId="77777777" w:rsidR="00793EA9" w:rsidRPr="00E632E2" w:rsidRDefault="00793EA9">
      <w:pPr>
        <w:pStyle w:val="TypeDoc"/>
        <w:rPr>
          <w:lang w:val="fr-FR"/>
        </w:rPr>
      </w:pPr>
      <w:r w:rsidRPr="00E632E2">
        <w:rPr>
          <w:rStyle w:val="HideTWBExt"/>
          <w:b w:val="0"/>
          <w:noProof w:val="0"/>
          <w:lang w:val="fr-FR"/>
        </w:rPr>
        <w:t>&lt;TitreType&gt;</w:t>
      </w:r>
      <w:r w:rsidR="00D61396" w:rsidRPr="00E632E2">
        <w:rPr>
          <w:lang w:val="fr-FR"/>
        </w:rPr>
        <w:t>DRAFT REPORT</w:t>
      </w:r>
      <w:r w:rsidRPr="00E632E2">
        <w:rPr>
          <w:rStyle w:val="HideTWBExt"/>
          <w:b w:val="0"/>
          <w:noProof w:val="0"/>
          <w:lang w:val="fr-FR"/>
        </w:rPr>
        <w:t>&lt;/TitreType&gt;</w:t>
      </w:r>
    </w:p>
    <w:p w14:paraId="1746E1F6" w14:textId="77777777" w:rsidR="00793EA9" w:rsidRPr="00E632E2" w:rsidRDefault="00793EA9">
      <w:pPr>
        <w:pStyle w:val="CoverNormal"/>
      </w:pPr>
      <w:r w:rsidRPr="00E632E2">
        <w:rPr>
          <w:rStyle w:val="HideTWBExt"/>
          <w:noProof w:val="0"/>
        </w:rPr>
        <w:t>&lt;Titre&gt;</w:t>
      </w:r>
      <w:r w:rsidR="00D61396" w:rsidRPr="00E632E2">
        <w:t xml:space="preserve">on the proposal for a </w:t>
      </w:r>
      <w:r w:rsidR="007245FA" w:rsidRPr="00E632E2">
        <w:t>regulation</w:t>
      </w:r>
      <w:r w:rsidR="00D61396" w:rsidRPr="00E632E2">
        <w:t xml:space="preserve"> of the European Parliament and of the Council </w:t>
      </w:r>
      <w:r w:rsidR="007245FA" w:rsidRPr="00E632E2">
        <w:t>amending Regulation (EU) 2016/1011 on low carbon benchmarks and positive carbon impact benchmarks</w:t>
      </w:r>
      <w:r w:rsidRPr="00E632E2">
        <w:rPr>
          <w:rStyle w:val="HideTWBExt"/>
          <w:noProof w:val="0"/>
        </w:rPr>
        <w:t>&lt;/Titre&gt;</w:t>
      </w:r>
    </w:p>
    <w:p w14:paraId="15574AC6" w14:textId="77777777" w:rsidR="00793EA9" w:rsidRPr="00E632E2" w:rsidRDefault="00793EA9">
      <w:pPr>
        <w:pStyle w:val="Cover24"/>
        <w:rPr>
          <w:lang w:val="pt-PT"/>
        </w:rPr>
      </w:pPr>
      <w:r w:rsidRPr="00E632E2">
        <w:rPr>
          <w:rStyle w:val="HideTWBExt"/>
          <w:noProof w:val="0"/>
          <w:lang w:val="pt-PT"/>
        </w:rPr>
        <w:t>&lt;DocRef&gt;</w:t>
      </w:r>
      <w:r w:rsidR="00D61396" w:rsidRPr="00E632E2">
        <w:rPr>
          <w:lang w:val="pt-PT"/>
        </w:rPr>
        <w:t>(COM</w:t>
      </w:r>
      <w:r w:rsidR="007245FA" w:rsidRPr="00E632E2">
        <w:rPr>
          <w:lang w:val="pt-PT"/>
        </w:rPr>
        <w:t>(2018)0355</w:t>
      </w:r>
      <w:r w:rsidR="00D61396" w:rsidRPr="00E632E2">
        <w:rPr>
          <w:lang w:val="pt-PT"/>
        </w:rPr>
        <w:t xml:space="preserve"> </w:t>
      </w:r>
      <w:r w:rsidR="007245FA" w:rsidRPr="00E632E2">
        <w:rPr>
          <w:lang w:val="pt-PT"/>
        </w:rPr>
        <w:t>–</w:t>
      </w:r>
      <w:r w:rsidR="00D61396" w:rsidRPr="00E632E2">
        <w:rPr>
          <w:lang w:val="pt-PT"/>
        </w:rPr>
        <w:t xml:space="preserve"> </w:t>
      </w:r>
      <w:r w:rsidR="007245FA" w:rsidRPr="00E632E2">
        <w:rPr>
          <w:lang w:val="pt-PT"/>
        </w:rPr>
        <w:t>C8</w:t>
      </w:r>
      <w:r w:rsidR="007245FA" w:rsidRPr="00E632E2">
        <w:rPr>
          <w:lang w:val="pt-PT"/>
        </w:rPr>
        <w:noBreakHyphen/>
        <w:t>0209/2018</w:t>
      </w:r>
      <w:r w:rsidR="00D61396" w:rsidRPr="00E632E2">
        <w:rPr>
          <w:lang w:val="pt-PT"/>
        </w:rPr>
        <w:t xml:space="preserve"> </w:t>
      </w:r>
      <w:r w:rsidR="007245FA" w:rsidRPr="00E632E2">
        <w:rPr>
          <w:lang w:val="pt-PT"/>
        </w:rPr>
        <w:t>–</w:t>
      </w:r>
      <w:r w:rsidR="00D61396" w:rsidRPr="00E632E2">
        <w:rPr>
          <w:lang w:val="pt-PT"/>
        </w:rPr>
        <w:t xml:space="preserve"> </w:t>
      </w:r>
      <w:r w:rsidR="007245FA" w:rsidRPr="00E632E2">
        <w:rPr>
          <w:lang w:val="pt-PT"/>
        </w:rPr>
        <w:t>2018/0180</w:t>
      </w:r>
      <w:r w:rsidR="00D61396" w:rsidRPr="00E632E2">
        <w:rPr>
          <w:lang w:val="pt-PT"/>
        </w:rPr>
        <w:t>(COD))</w:t>
      </w:r>
      <w:r w:rsidRPr="00E632E2">
        <w:rPr>
          <w:rStyle w:val="HideTWBExt"/>
          <w:noProof w:val="0"/>
          <w:lang w:val="pt-PT"/>
        </w:rPr>
        <w:t>&lt;/DocRef&gt;</w:t>
      </w:r>
    </w:p>
    <w:p w14:paraId="50DC4E71" w14:textId="77777777" w:rsidR="00793EA9" w:rsidRPr="00E632E2" w:rsidRDefault="00793EA9">
      <w:pPr>
        <w:pStyle w:val="Cover24"/>
      </w:pPr>
      <w:r w:rsidRPr="00E632E2">
        <w:rPr>
          <w:rStyle w:val="HideTWBExt"/>
          <w:noProof w:val="0"/>
        </w:rPr>
        <w:t>&lt;Commission&gt;</w:t>
      </w:r>
      <w:r w:rsidR="007245FA" w:rsidRPr="00E632E2">
        <w:rPr>
          <w:rStyle w:val="HideTWBInt"/>
        </w:rPr>
        <w:t>{ECON}</w:t>
      </w:r>
      <w:r w:rsidR="007245FA" w:rsidRPr="00E632E2">
        <w:t>Committee on Economic and Monetary Affairs</w:t>
      </w:r>
      <w:r w:rsidRPr="00E632E2">
        <w:rPr>
          <w:rStyle w:val="HideTWBExt"/>
          <w:noProof w:val="0"/>
        </w:rPr>
        <w:t>&lt;/Commission&gt;</w:t>
      </w:r>
    </w:p>
    <w:p w14:paraId="2EBA2DF4" w14:textId="77777777" w:rsidR="00793EA9" w:rsidRPr="00E632E2" w:rsidRDefault="00D61396">
      <w:pPr>
        <w:pStyle w:val="Cover24"/>
        <w:rPr>
          <w:lang w:val="fr-FR"/>
        </w:rPr>
      </w:pPr>
      <w:r w:rsidRPr="00E632E2">
        <w:rPr>
          <w:lang w:val="fr-FR"/>
        </w:rPr>
        <w:t>Rapporteur:</w:t>
      </w:r>
      <w:r w:rsidR="00793EA9" w:rsidRPr="00E632E2">
        <w:rPr>
          <w:lang w:val="fr-FR"/>
        </w:rPr>
        <w:t xml:space="preserve"> </w:t>
      </w:r>
      <w:r w:rsidR="00793EA9" w:rsidRPr="00E632E2">
        <w:rPr>
          <w:rStyle w:val="HideTWBExt"/>
          <w:noProof w:val="0"/>
          <w:lang w:val="fr-FR"/>
        </w:rPr>
        <w:t>&lt;Depute&gt;</w:t>
      </w:r>
      <w:r w:rsidR="007245FA" w:rsidRPr="00E632E2">
        <w:rPr>
          <w:lang w:val="fr-FR"/>
        </w:rPr>
        <w:t>Neena Gill</w:t>
      </w:r>
      <w:r w:rsidR="00793EA9" w:rsidRPr="00E632E2">
        <w:rPr>
          <w:rStyle w:val="HideTWBExt"/>
          <w:noProof w:val="0"/>
          <w:lang w:val="fr-FR"/>
        </w:rPr>
        <w:t>&lt;/Depute&gt;</w:t>
      </w:r>
    </w:p>
    <w:p w14:paraId="3781A882" w14:textId="77777777" w:rsidR="001C5B44" w:rsidRPr="00E632E2" w:rsidRDefault="001C5B44" w:rsidP="001C5B44">
      <w:pPr>
        <w:pStyle w:val="CoverNormal"/>
        <w:rPr>
          <w:lang w:val="fr-FR"/>
        </w:rPr>
      </w:pPr>
    </w:p>
    <w:p w14:paraId="042A45EB" w14:textId="77777777" w:rsidR="00793EA9" w:rsidRPr="00E632E2" w:rsidRDefault="00793EA9" w:rsidP="00187008">
      <w:pPr>
        <w:widowControl/>
        <w:tabs>
          <w:tab w:val="center" w:pos="4677"/>
        </w:tabs>
        <w:rPr>
          <w:lang w:val="fr-FR"/>
        </w:rPr>
      </w:pPr>
      <w:r w:rsidRPr="00E632E2">
        <w:rPr>
          <w:lang w:val="fr-FR"/>
        </w:rPr>
        <w:br w:type="page"/>
      </w:r>
    </w:p>
    <w:p w14:paraId="64C8EECF" w14:textId="0D21B09B" w:rsidR="007245FA" w:rsidRPr="00E632E2" w:rsidRDefault="00B5353D">
      <w:pPr>
        <w:rPr>
          <w:lang w:val="fr-FR"/>
        </w:rPr>
      </w:pPr>
      <w:r w:rsidRPr="00E632E2">
        <w:lastRenderedPageBreak/>
        <w:fldChar w:fldCharType="begin"/>
      </w:r>
      <w:r w:rsidRPr="00E632E2">
        <w:rPr>
          <w:lang w:val="fr-FR"/>
        </w:rPr>
        <w:instrText xml:space="preserve"> TITLE  \* MERGEFORMAT </w:instrText>
      </w:r>
      <w:r w:rsidRPr="00E632E2">
        <w:fldChar w:fldCharType="separate"/>
      </w:r>
      <w:r w:rsidR="00E1116C">
        <w:rPr>
          <w:lang w:val="fr-FR"/>
        </w:rPr>
        <w:t>PR_COD_1amCom</w:t>
      </w:r>
      <w:r w:rsidRPr="00E632E2">
        <w:fldChar w:fldCharType="end"/>
      </w:r>
    </w:p>
    <w:p w14:paraId="0B7E5C03" w14:textId="77777777" w:rsidR="007245FA" w:rsidRPr="00E632E2" w:rsidRDefault="007245FA">
      <w:pPr>
        <w:rPr>
          <w:lang w:val="fr-FR"/>
        </w:rPr>
      </w:pPr>
    </w:p>
    <w:p w14:paraId="099C8648" w14:textId="77777777" w:rsidR="007245FA" w:rsidRPr="00E632E2" w:rsidRDefault="007245FA">
      <w:pPr>
        <w:rPr>
          <w:lang w:val="fr-FR"/>
        </w:rPr>
      </w:pPr>
    </w:p>
    <w:tbl>
      <w:tblPr>
        <w:tblW w:w="0" w:type="auto"/>
        <w:tblInd w:w="16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811"/>
      </w:tblGrid>
      <w:tr w:rsidR="007245FA" w:rsidRPr="00E632E2" w14:paraId="040BD7A8" w14:textId="77777777">
        <w:tc>
          <w:tcPr>
            <w:tcW w:w="5811" w:type="dxa"/>
          </w:tcPr>
          <w:p w14:paraId="54D82B8E" w14:textId="77777777" w:rsidR="007245FA" w:rsidRPr="00E632E2" w:rsidRDefault="007245FA">
            <w:pPr>
              <w:pStyle w:val="Lgendetitre"/>
              <w:rPr>
                <w:lang w:val="en-GB"/>
              </w:rPr>
            </w:pPr>
            <w:r w:rsidRPr="00E632E2">
              <w:rPr>
                <w:lang w:val="en-GB"/>
              </w:rPr>
              <w:t>Symbols for procedures</w:t>
            </w:r>
          </w:p>
        </w:tc>
      </w:tr>
      <w:tr w:rsidR="007245FA" w:rsidRPr="00E632E2" w14:paraId="7A812316" w14:textId="77777777" w:rsidTr="007E37CB">
        <w:trPr>
          <w:cantSplit/>
          <w:trHeight w:val="1944"/>
        </w:trPr>
        <w:tc>
          <w:tcPr>
            <w:tcW w:w="5811" w:type="dxa"/>
            <w:tcBorders>
              <w:bottom w:val="single" w:sz="4" w:space="0" w:color="auto"/>
            </w:tcBorders>
          </w:tcPr>
          <w:p w14:paraId="555CFF2D" w14:textId="77777777" w:rsidR="007245FA" w:rsidRPr="00E632E2" w:rsidRDefault="007245FA">
            <w:pPr>
              <w:pStyle w:val="Lgendesigne"/>
              <w:rPr>
                <w:lang w:val="en-GB"/>
              </w:rPr>
            </w:pPr>
            <w:r w:rsidRPr="00E632E2">
              <w:rPr>
                <w:lang w:val="en-GB"/>
              </w:rPr>
              <w:tab/>
              <w:t>*</w:t>
            </w:r>
            <w:r w:rsidRPr="00E632E2">
              <w:rPr>
                <w:lang w:val="en-GB"/>
              </w:rPr>
              <w:tab/>
              <w:t>Consultation procedure</w:t>
            </w:r>
          </w:p>
          <w:p w14:paraId="6BB6558F" w14:textId="77777777" w:rsidR="007245FA" w:rsidRPr="00E632E2" w:rsidRDefault="007245FA">
            <w:pPr>
              <w:pStyle w:val="Lgendesigne"/>
              <w:rPr>
                <w:lang w:val="en-GB"/>
              </w:rPr>
            </w:pPr>
            <w:r w:rsidRPr="00E632E2">
              <w:rPr>
                <w:lang w:val="en-GB"/>
              </w:rPr>
              <w:tab/>
              <w:t>***</w:t>
            </w:r>
            <w:r w:rsidRPr="00E632E2">
              <w:rPr>
                <w:lang w:val="en-GB"/>
              </w:rPr>
              <w:tab/>
              <w:t>Consent procedure</w:t>
            </w:r>
          </w:p>
          <w:p w14:paraId="4CFD4496" w14:textId="77777777" w:rsidR="007245FA" w:rsidRPr="00E632E2" w:rsidRDefault="007245FA">
            <w:pPr>
              <w:pStyle w:val="Lgendesigne"/>
              <w:rPr>
                <w:lang w:val="en-GB"/>
              </w:rPr>
            </w:pPr>
            <w:r w:rsidRPr="00E632E2">
              <w:rPr>
                <w:lang w:val="en-GB"/>
              </w:rPr>
              <w:tab/>
              <w:t>***I</w:t>
            </w:r>
            <w:r w:rsidRPr="00E632E2">
              <w:rPr>
                <w:lang w:val="en-GB"/>
              </w:rPr>
              <w:tab/>
              <w:t>Ordinary legislative procedure (first reading)</w:t>
            </w:r>
          </w:p>
          <w:p w14:paraId="2B3D0F3A" w14:textId="77777777" w:rsidR="007245FA" w:rsidRPr="00E632E2" w:rsidRDefault="007245FA">
            <w:pPr>
              <w:pStyle w:val="Lgendesigne"/>
              <w:rPr>
                <w:lang w:val="en-GB"/>
              </w:rPr>
            </w:pPr>
            <w:r w:rsidRPr="00E632E2">
              <w:rPr>
                <w:lang w:val="en-GB"/>
              </w:rPr>
              <w:tab/>
              <w:t>***II</w:t>
            </w:r>
            <w:r w:rsidRPr="00E632E2">
              <w:rPr>
                <w:lang w:val="en-GB"/>
              </w:rPr>
              <w:tab/>
              <w:t>Ordinary legislative procedure (second reading)</w:t>
            </w:r>
          </w:p>
          <w:p w14:paraId="607DEAA7" w14:textId="77777777" w:rsidR="007245FA" w:rsidRPr="00E632E2" w:rsidRDefault="007245FA">
            <w:pPr>
              <w:pStyle w:val="Lgendesigne"/>
              <w:rPr>
                <w:lang w:val="en-GB"/>
              </w:rPr>
            </w:pPr>
            <w:r w:rsidRPr="00E632E2">
              <w:rPr>
                <w:lang w:val="en-GB"/>
              </w:rPr>
              <w:tab/>
              <w:t>***III</w:t>
            </w:r>
            <w:r w:rsidRPr="00E632E2">
              <w:rPr>
                <w:lang w:val="en-GB"/>
              </w:rPr>
              <w:tab/>
              <w:t>Ordinary legislative procedure (third reading)</w:t>
            </w:r>
          </w:p>
          <w:p w14:paraId="599FE68D" w14:textId="77777777" w:rsidR="007245FA" w:rsidRPr="00E632E2" w:rsidRDefault="007245FA">
            <w:pPr>
              <w:pStyle w:val="Lgendesigne"/>
              <w:ind w:left="0" w:firstLine="0"/>
              <w:rPr>
                <w:lang w:val="en-GB"/>
              </w:rPr>
            </w:pPr>
          </w:p>
          <w:p w14:paraId="665C9FEA" w14:textId="77777777" w:rsidR="007245FA" w:rsidRPr="00E632E2" w:rsidRDefault="007245FA">
            <w:pPr>
              <w:pStyle w:val="Lgendestandard"/>
              <w:rPr>
                <w:lang w:val="en-GB"/>
              </w:rPr>
            </w:pPr>
            <w:r w:rsidRPr="00E632E2">
              <w:rPr>
                <w:lang w:val="en-GB"/>
              </w:rPr>
              <w:t>(The type of procedure depends on the legal basis proposed by the draft act.)</w:t>
            </w:r>
          </w:p>
          <w:p w14:paraId="0A6FB50B" w14:textId="77777777" w:rsidR="007245FA" w:rsidRPr="00E632E2" w:rsidRDefault="007245FA">
            <w:pPr>
              <w:pStyle w:val="Lgendesigne"/>
              <w:ind w:left="0" w:firstLine="0"/>
              <w:rPr>
                <w:lang w:val="en-GB"/>
              </w:rPr>
            </w:pPr>
          </w:p>
        </w:tc>
      </w:tr>
    </w:tbl>
    <w:p w14:paraId="472BF6C2" w14:textId="77777777" w:rsidR="007245FA" w:rsidRPr="00E632E2" w:rsidRDefault="007245FA"/>
    <w:p w14:paraId="7CA63C60" w14:textId="77777777" w:rsidR="007245FA" w:rsidRPr="00E632E2" w:rsidRDefault="007245FA"/>
    <w:p w14:paraId="10672F28" w14:textId="77777777" w:rsidR="007245FA" w:rsidRPr="00E632E2" w:rsidRDefault="007245FA"/>
    <w:p w14:paraId="6188C3CE" w14:textId="77777777" w:rsidR="007245FA" w:rsidRPr="00E632E2" w:rsidRDefault="007245FA"/>
    <w:tbl>
      <w:tblPr>
        <w:tblW w:w="0" w:type="auto"/>
        <w:tblInd w:w="1668"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000" w:firstRow="0" w:lastRow="0" w:firstColumn="0" w:lastColumn="0" w:noHBand="0" w:noVBand="0"/>
      </w:tblPr>
      <w:tblGrid>
        <w:gridCol w:w="5811"/>
      </w:tblGrid>
      <w:tr w:rsidR="007245FA" w:rsidRPr="00E632E2" w14:paraId="05C11733" w14:textId="77777777">
        <w:tc>
          <w:tcPr>
            <w:tcW w:w="5811" w:type="dxa"/>
          </w:tcPr>
          <w:p w14:paraId="56CCB177" w14:textId="77777777" w:rsidR="007245FA" w:rsidRPr="00E632E2" w:rsidRDefault="007245FA">
            <w:pPr>
              <w:pStyle w:val="Lgendetitre"/>
              <w:rPr>
                <w:lang w:val="en-GB"/>
              </w:rPr>
            </w:pPr>
            <w:r w:rsidRPr="00E632E2">
              <w:rPr>
                <w:lang w:val="en-GB"/>
              </w:rPr>
              <w:t>Amendments to a draft act</w:t>
            </w:r>
          </w:p>
        </w:tc>
      </w:tr>
      <w:tr w:rsidR="007245FA" w:rsidRPr="00E632E2" w14:paraId="1199FCDD" w14:textId="77777777">
        <w:tc>
          <w:tcPr>
            <w:tcW w:w="5811" w:type="dxa"/>
          </w:tcPr>
          <w:p w14:paraId="5BA3A165" w14:textId="77777777" w:rsidR="007245FA" w:rsidRPr="00E632E2" w:rsidRDefault="007245FA" w:rsidP="007E37CB">
            <w:pPr>
              <w:pStyle w:val="Lgendestandard"/>
              <w:rPr>
                <w:szCs w:val="24"/>
                <w:lang w:val="en-GB"/>
              </w:rPr>
            </w:pPr>
            <w:r w:rsidRPr="00E632E2">
              <w:rPr>
                <w:b/>
                <w:szCs w:val="24"/>
                <w:lang w:val="en-GB"/>
              </w:rPr>
              <w:t>Amendments by Parliament set out in two columns</w:t>
            </w:r>
          </w:p>
          <w:p w14:paraId="2F737D6E" w14:textId="77777777" w:rsidR="007245FA" w:rsidRPr="00E632E2" w:rsidRDefault="007245FA" w:rsidP="007E37CB">
            <w:pPr>
              <w:pStyle w:val="Lgendestandard"/>
              <w:rPr>
                <w:szCs w:val="24"/>
                <w:lang w:val="en-GB"/>
              </w:rPr>
            </w:pPr>
          </w:p>
          <w:p w14:paraId="7C9FA15A" w14:textId="77777777" w:rsidR="007245FA" w:rsidRPr="00E632E2" w:rsidRDefault="007245FA" w:rsidP="007E37CB">
            <w:pPr>
              <w:pStyle w:val="Lgendestandard"/>
              <w:rPr>
                <w:szCs w:val="24"/>
                <w:lang w:val="en-GB"/>
              </w:rPr>
            </w:pPr>
            <w:r w:rsidRPr="00E632E2">
              <w:rPr>
                <w:szCs w:val="24"/>
                <w:lang w:val="en-GB"/>
              </w:rPr>
              <w:t xml:space="preserve">Deletions are indicated in </w:t>
            </w:r>
            <w:r w:rsidRPr="00E632E2">
              <w:rPr>
                <w:b/>
                <w:i/>
                <w:szCs w:val="24"/>
                <w:lang w:val="en-GB"/>
              </w:rPr>
              <w:t>bold italics</w:t>
            </w:r>
            <w:r w:rsidRPr="00E632E2">
              <w:rPr>
                <w:szCs w:val="24"/>
                <w:lang w:val="en-GB"/>
              </w:rPr>
              <w:t xml:space="preserve"> in the left-hand column. Replacements are indicated in </w:t>
            </w:r>
            <w:r w:rsidRPr="00E632E2">
              <w:rPr>
                <w:b/>
                <w:i/>
                <w:szCs w:val="24"/>
                <w:lang w:val="en-GB"/>
              </w:rPr>
              <w:t>bold italics</w:t>
            </w:r>
            <w:r w:rsidRPr="00E632E2">
              <w:rPr>
                <w:szCs w:val="24"/>
                <w:lang w:val="en-GB"/>
              </w:rPr>
              <w:t xml:space="preserve"> in both columns. New text is indicated in </w:t>
            </w:r>
            <w:r w:rsidRPr="00E632E2">
              <w:rPr>
                <w:b/>
                <w:i/>
                <w:szCs w:val="24"/>
                <w:lang w:val="en-GB"/>
              </w:rPr>
              <w:t>bold italics</w:t>
            </w:r>
            <w:r w:rsidRPr="00E632E2">
              <w:rPr>
                <w:szCs w:val="24"/>
                <w:lang w:val="en-GB"/>
              </w:rPr>
              <w:t xml:space="preserve"> in the right-hand column.</w:t>
            </w:r>
          </w:p>
          <w:p w14:paraId="12FDE2F9" w14:textId="77777777" w:rsidR="007245FA" w:rsidRPr="00E632E2" w:rsidRDefault="007245FA" w:rsidP="007E37CB">
            <w:pPr>
              <w:pStyle w:val="Lgendestandard"/>
              <w:rPr>
                <w:szCs w:val="24"/>
                <w:lang w:val="en-GB"/>
              </w:rPr>
            </w:pPr>
          </w:p>
          <w:p w14:paraId="30F925E0" w14:textId="77777777" w:rsidR="007245FA" w:rsidRPr="00E632E2" w:rsidRDefault="007245FA" w:rsidP="007E37CB">
            <w:pPr>
              <w:pStyle w:val="Lgendestandard"/>
              <w:rPr>
                <w:szCs w:val="24"/>
                <w:lang w:val="en-GB"/>
              </w:rPr>
            </w:pPr>
            <w:r w:rsidRPr="00E632E2">
              <w:rPr>
                <w:szCs w:val="24"/>
                <w:lang w:val="en-GB"/>
              </w:rPr>
              <w:t>The first and second lines of the header of each amendment identify the relevant part of the draft act under consideration. If an amendment pertains to an existing act that the draft act is seeking to amend, the amendment heading includes a third line identifying the existing act and a fourth line identifying the provision in that act that Parliament wishes to amend.</w:t>
            </w:r>
          </w:p>
          <w:p w14:paraId="612EDDC9" w14:textId="77777777" w:rsidR="007245FA" w:rsidRPr="00E632E2" w:rsidRDefault="007245FA" w:rsidP="007E37CB">
            <w:pPr>
              <w:pStyle w:val="Lgendestandard"/>
              <w:rPr>
                <w:szCs w:val="24"/>
                <w:lang w:val="en-GB"/>
              </w:rPr>
            </w:pPr>
          </w:p>
          <w:p w14:paraId="5DFF58EF" w14:textId="77777777" w:rsidR="007245FA" w:rsidRPr="00E632E2" w:rsidRDefault="007245FA" w:rsidP="007E37CB">
            <w:pPr>
              <w:pStyle w:val="Lgendestandard"/>
              <w:rPr>
                <w:b/>
                <w:szCs w:val="24"/>
                <w:lang w:val="en-GB"/>
              </w:rPr>
            </w:pPr>
            <w:r w:rsidRPr="00E632E2">
              <w:rPr>
                <w:b/>
                <w:szCs w:val="24"/>
                <w:lang w:val="en-GB"/>
              </w:rPr>
              <w:t>Amendments by Parliament in the form of a consolidated text</w:t>
            </w:r>
          </w:p>
          <w:p w14:paraId="2803BEC3" w14:textId="77777777" w:rsidR="007245FA" w:rsidRPr="00E632E2" w:rsidRDefault="007245FA" w:rsidP="007E37CB">
            <w:pPr>
              <w:pStyle w:val="Lgendestandard"/>
              <w:rPr>
                <w:szCs w:val="24"/>
                <w:lang w:val="en-GB"/>
              </w:rPr>
            </w:pPr>
          </w:p>
          <w:p w14:paraId="32BA14EF" w14:textId="77777777" w:rsidR="007245FA" w:rsidRPr="00E632E2" w:rsidRDefault="007245FA" w:rsidP="007E37CB">
            <w:pPr>
              <w:pStyle w:val="Lgendestandard"/>
              <w:rPr>
                <w:szCs w:val="24"/>
                <w:lang w:val="en-GB"/>
              </w:rPr>
            </w:pPr>
            <w:r w:rsidRPr="00E632E2">
              <w:rPr>
                <w:szCs w:val="24"/>
                <w:lang w:val="en-GB"/>
              </w:rPr>
              <w:t xml:space="preserve">New text is highlighted in </w:t>
            </w:r>
            <w:r w:rsidRPr="00E632E2">
              <w:rPr>
                <w:b/>
                <w:i/>
                <w:szCs w:val="24"/>
                <w:lang w:val="en-GB"/>
              </w:rPr>
              <w:t>bold italics</w:t>
            </w:r>
            <w:r w:rsidRPr="00E632E2">
              <w:rPr>
                <w:szCs w:val="24"/>
                <w:lang w:val="en-GB"/>
              </w:rPr>
              <w:t xml:space="preserve">. Deletions are indicated using either the ▌symbol or strikeout. Replacements are indicated by highlighting the new text in </w:t>
            </w:r>
            <w:r w:rsidRPr="00E632E2">
              <w:rPr>
                <w:b/>
                <w:i/>
                <w:szCs w:val="24"/>
                <w:lang w:val="en-GB"/>
              </w:rPr>
              <w:t>bold italics</w:t>
            </w:r>
            <w:r w:rsidRPr="00E632E2">
              <w:rPr>
                <w:szCs w:val="24"/>
                <w:lang w:val="en-GB"/>
              </w:rPr>
              <w:t xml:space="preserve"> and by deleting or striking out the text that has been replaced. </w:t>
            </w:r>
          </w:p>
          <w:p w14:paraId="27C1E35A" w14:textId="77777777" w:rsidR="007245FA" w:rsidRPr="00E632E2" w:rsidRDefault="007245FA" w:rsidP="007E37CB">
            <w:pPr>
              <w:pStyle w:val="Lgendestandard"/>
              <w:rPr>
                <w:szCs w:val="24"/>
                <w:lang w:val="en-GB"/>
              </w:rPr>
            </w:pPr>
            <w:r w:rsidRPr="00E632E2">
              <w:rPr>
                <w:szCs w:val="24"/>
                <w:lang w:val="en-GB"/>
              </w:rPr>
              <w:t>By way of exception, purely technical changes made by the drafting departments in preparing the final text are not highlighted.</w:t>
            </w:r>
          </w:p>
          <w:p w14:paraId="543BB4F5" w14:textId="77777777" w:rsidR="007245FA" w:rsidRPr="00E632E2" w:rsidRDefault="007245FA">
            <w:pPr>
              <w:pStyle w:val="Lgendestandard"/>
              <w:rPr>
                <w:lang w:val="en-GB"/>
              </w:rPr>
            </w:pPr>
          </w:p>
        </w:tc>
      </w:tr>
    </w:tbl>
    <w:p w14:paraId="5B86664D" w14:textId="77777777" w:rsidR="007245FA" w:rsidRPr="00E632E2" w:rsidRDefault="007245FA"/>
    <w:p w14:paraId="4E0F84C5" w14:textId="77777777" w:rsidR="00793EA9" w:rsidRPr="00E632E2" w:rsidRDefault="00793EA9" w:rsidP="00012351">
      <w:pPr>
        <w:widowControl/>
        <w:tabs>
          <w:tab w:val="center" w:pos="4677"/>
        </w:tabs>
      </w:pPr>
    </w:p>
    <w:p w14:paraId="44654984" w14:textId="77777777" w:rsidR="00793EA9" w:rsidRPr="00E632E2" w:rsidRDefault="00793EA9">
      <w:pPr>
        <w:pStyle w:val="Inhaltsverzeichnisberschrift"/>
        <w:rPr>
          <w:lang w:val="fr-FR"/>
        </w:rPr>
      </w:pPr>
      <w:r w:rsidRPr="00E632E2">
        <w:rPr>
          <w:lang w:val="fr-FR"/>
        </w:rPr>
        <w:br w:type="page"/>
      </w:r>
      <w:r w:rsidR="00D61396" w:rsidRPr="00E632E2">
        <w:rPr>
          <w:lang w:val="fr-FR"/>
        </w:rPr>
        <w:lastRenderedPageBreak/>
        <w:t>CONTENTS</w:t>
      </w:r>
    </w:p>
    <w:p w14:paraId="7CC21F85" w14:textId="77777777" w:rsidR="00793EA9" w:rsidRPr="00E632E2" w:rsidRDefault="00D61396">
      <w:pPr>
        <w:pStyle w:val="TOCPage"/>
        <w:rPr>
          <w:lang w:val="fr-FR"/>
        </w:rPr>
      </w:pPr>
      <w:r w:rsidRPr="00E632E2">
        <w:rPr>
          <w:lang w:val="fr-FR"/>
        </w:rPr>
        <w:t>Page</w:t>
      </w:r>
    </w:p>
    <w:p w14:paraId="40715C8A" w14:textId="000262D6" w:rsidR="00E1116C" w:rsidRDefault="001767E2">
      <w:pPr>
        <w:pStyle w:val="Verzeichnis1"/>
        <w:tabs>
          <w:tab w:val="right" w:leader="dot" w:pos="9060"/>
        </w:tabs>
        <w:rPr>
          <w:rFonts w:asciiTheme="minorHAnsi" w:eastAsiaTheme="minorEastAsia" w:hAnsiTheme="minorHAnsi" w:cstheme="minorBidi"/>
          <w:noProof/>
          <w:sz w:val="22"/>
          <w:szCs w:val="22"/>
        </w:rPr>
      </w:pPr>
      <w:r w:rsidRPr="00E632E2">
        <w:rPr>
          <w:b/>
        </w:rPr>
        <w:fldChar w:fldCharType="begin"/>
      </w:r>
      <w:r w:rsidRPr="00E1116C">
        <w:rPr>
          <w:b/>
        </w:rPr>
        <w:instrText xml:space="preserve"> TOC \t "PageHeading</w:instrText>
      </w:r>
      <w:r w:rsidR="00783CA5" w:rsidRPr="00E1116C">
        <w:rPr>
          <w:b/>
        </w:rPr>
        <w:instrText>;</w:instrText>
      </w:r>
      <w:r w:rsidRPr="00E1116C">
        <w:rPr>
          <w:b/>
        </w:rPr>
        <w:instrText xml:space="preserve">1" </w:instrText>
      </w:r>
      <w:r w:rsidRPr="00E632E2">
        <w:rPr>
          <w:b/>
        </w:rPr>
        <w:fldChar w:fldCharType="separate"/>
      </w:r>
      <w:r w:rsidR="00E1116C">
        <w:rPr>
          <w:noProof/>
        </w:rPr>
        <w:t>DRAFT EUROPEAN PARLIAMENT LEGISLATIVE RESOLUTION</w:t>
      </w:r>
      <w:r w:rsidR="00E1116C">
        <w:rPr>
          <w:noProof/>
        </w:rPr>
        <w:tab/>
      </w:r>
      <w:r w:rsidR="00E1116C">
        <w:rPr>
          <w:noProof/>
        </w:rPr>
        <w:fldChar w:fldCharType="begin"/>
      </w:r>
      <w:r w:rsidR="00E1116C">
        <w:rPr>
          <w:noProof/>
        </w:rPr>
        <w:instrText xml:space="preserve"> PAGEREF _Toc526182537 \h </w:instrText>
      </w:r>
      <w:r w:rsidR="00E1116C">
        <w:rPr>
          <w:noProof/>
        </w:rPr>
      </w:r>
      <w:r w:rsidR="00E1116C">
        <w:rPr>
          <w:noProof/>
        </w:rPr>
        <w:fldChar w:fldCharType="separate"/>
      </w:r>
      <w:r w:rsidR="00E1116C">
        <w:rPr>
          <w:noProof/>
        </w:rPr>
        <w:t>5</w:t>
      </w:r>
      <w:r w:rsidR="00E1116C">
        <w:rPr>
          <w:noProof/>
        </w:rPr>
        <w:fldChar w:fldCharType="end"/>
      </w:r>
    </w:p>
    <w:p w14:paraId="57F7EA4E" w14:textId="03D8019D" w:rsidR="00E1116C" w:rsidRDefault="00E1116C">
      <w:pPr>
        <w:pStyle w:val="Verzeichnis1"/>
        <w:tabs>
          <w:tab w:val="right" w:leader="dot" w:pos="9060"/>
        </w:tabs>
        <w:rPr>
          <w:rFonts w:asciiTheme="minorHAnsi" w:eastAsiaTheme="minorEastAsia" w:hAnsiTheme="minorHAnsi" w:cstheme="minorBidi"/>
          <w:noProof/>
          <w:sz w:val="22"/>
          <w:szCs w:val="22"/>
        </w:rPr>
      </w:pPr>
      <w:r>
        <w:rPr>
          <w:noProof/>
        </w:rPr>
        <w:t>EXPLANATORY STATEMENT</w:t>
      </w:r>
      <w:r>
        <w:rPr>
          <w:noProof/>
        </w:rPr>
        <w:tab/>
      </w:r>
      <w:r>
        <w:rPr>
          <w:noProof/>
        </w:rPr>
        <w:fldChar w:fldCharType="begin"/>
      </w:r>
      <w:r>
        <w:rPr>
          <w:noProof/>
        </w:rPr>
        <w:instrText xml:space="preserve"> PAGEREF _Toc526182538 \h </w:instrText>
      </w:r>
      <w:r>
        <w:rPr>
          <w:noProof/>
        </w:rPr>
      </w:r>
      <w:r>
        <w:rPr>
          <w:noProof/>
        </w:rPr>
        <w:fldChar w:fldCharType="separate"/>
      </w:r>
      <w:r>
        <w:rPr>
          <w:noProof/>
        </w:rPr>
        <w:t>21</w:t>
      </w:r>
      <w:r>
        <w:rPr>
          <w:noProof/>
        </w:rPr>
        <w:fldChar w:fldCharType="end"/>
      </w:r>
    </w:p>
    <w:p w14:paraId="31B011C5" w14:textId="3711C9A4" w:rsidR="00793EA9" w:rsidRPr="00E632E2" w:rsidRDefault="001767E2" w:rsidP="002346B0">
      <w:r w:rsidRPr="00E632E2">
        <w:rPr>
          <w:b/>
        </w:rPr>
        <w:fldChar w:fldCharType="end"/>
      </w:r>
    </w:p>
    <w:p w14:paraId="4AA67687" w14:textId="77777777" w:rsidR="002346B0" w:rsidRPr="00E632E2" w:rsidRDefault="002346B0" w:rsidP="002346B0"/>
    <w:p w14:paraId="6F1DE937" w14:textId="77777777" w:rsidR="002346B0" w:rsidRPr="00E632E2" w:rsidRDefault="002346B0">
      <w:pPr>
        <w:pStyle w:val="PageHeading"/>
      </w:pPr>
    </w:p>
    <w:p w14:paraId="6988CA74" w14:textId="77777777" w:rsidR="00793EA9" w:rsidRPr="00E632E2" w:rsidRDefault="00793EA9">
      <w:pPr>
        <w:pStyle w:val="PageHeading"/>
      </w:pPr>
      <w:r w:rsidRPr="00E632E2">
        <w:br w:type="page"/>
      </w:r>
      <w:r w:rsidRPr="00E632E2">
        <w:lastRenderedPageBreak/>
        <w:br w:type="page"/>
      </w:r>
      <w:bookmarkStart w:id="1" w:name="_Toc526182537"/>
      <w:r w:rsidR="00D61396" w:rsidRPr="00E632E2">
        <w:lastRenderedPageBreak/>
        <w:t>DRAFT EUROPEAN PARLIAMENT LEGISLATIVE RESOLUTION</w:t>
      </w:r>
      <w:bookmarkEnd w:id="1"/>
    </w:p>
    <w:p w14:paraId="3FCBBE80" w14:textId="77777777" w:rsidR="00793EA9" w:rsidRPr="00E632E2" w:rsidRDefault="00D61396">
      <w:pPr>
        <w:pStyle w:val="NormalBold"/>
      </w:pPr>
      <w:r w:rsidRPr="00E632E2">
        <w:t xml:space="preserve">on the proposal for a </w:t>
      </w:r>
      <w:r w:rsidR="007245FA" w:rsidRPr="00E632E2">
        <w:t>regulation</w:t>
      </w:r>
      <w:r w:rsidRPr="00E632E2">
        <w:t xml:space="preserve"> of the European Parliament and of the Council </w:t>
      </w:r>
      <w:r w:rsidR="007245FA" w:rsidRPr="00E632E2">
        <w:t>amending Regulation (EU) 2016/1011 on low carbon benchmarks and positive carbon impact benchmarks</w:t>
      </w:r>
    </w:p>
    <w:p w14:paraId="0657FFBB" w14:textId="77777777" w:rsidR="00793EA9" w:rsidRPr="00E632E2" w:rsidRDefault="00D61396">
      <w:pPr>
        <w:pStyle w:val="Normal12Bold"/>
      </w:pPr>
      <w:r w:rsidRPr="00E632E2">
        <w:t>(COM</w:t>
      </w:r>
      <w:r w:rsidR="007245FA" w:rsidRPr="00E632E2">
        <w:t>(2018)0355</w:t>
      </w:r>
      <w:r w:rsidRPr="00E632E2">
        <w:t xml:space="preserve"> </w:t>
      </w:r>
      <w:r w:rsidR="007245FA" w:rsidRPr="00E632E2">
        <w:t>–</w:t>
      </w:r>
      <w:r w:rsidRPr="00E632E2">
        <w:t xml:space="preserve"> </w:t>
      </w:r>
      <w:r w:rsidR="007245FA" w:rsidRPr="00E632E2">
        <w:t>C8</w:t>
      </w:r>
      <w:r w:rsidR="007245FA" w:rsidRPr="00E632E2">
        <w:noBreakHyphen/>
        <w:t>0209/2018</w:t>
      </w:r>
      <w:r w:rsidRPr="00E632E2">
        <w:t xml:space="preserve"> </w:t>
      </w:r>
      <w:r w:rsidR="007245FA" w:rsidRPr="00E632E2">
        <w:t>–</w:t>
      </w:r>
      <w:r w:rsidRPr="00E632E2">
        <w:t xml:space="preserve"> </w:t>
      </w:r>
      <w:r w:rsidR="007245FA" w:rsidRPr="00E632E2">
        <w:t>2018/0180</w:t>
      </w:r>
      <w:r w:rsidRPr="00E632E2">
        <w:t>(COD))</w:t>
      </w:r>
    </w:p>
    <w:p w14:paraId="78FA6A7E" w14:textId="77777777" w:rsidR="00793EA9" w:rsidRPr="00E632E2" w:rsidRDefault="00D61396">
      <w:pPr>
        <w:pStyle w:val="Normal12Bold"/>
      </w:pPr>
      <w:r w:rsidRPr="00E632E2">
        <w:t>(Ordinary legislative procedure: first reading)</w:t>
      </w:r>
    </w:p>
    <w:p w14:paraId="39D46181" w14:textId="77777777" w:rsidR="00793EA9" w:rsidRPr="00E632E2" w:rsidRDefault="00D61396">
      <w:pPr>
        <w:pStyle w:val="Normal12"/>
      </w:pPr>
      <w:r w:rsidRPr="00E632E2">
        <w:rPr>
          <w:i/>
        </w:rPr>
        <w:t>The European Parliament</w:t>
      </w:r>
      <w:r w:rsidRPr="00E632E2">
        <w:t>,</w:t>
      </w:r>
    </w:p>
    <w:p w14:paraId="23AD63E9" w14:textId="77777777" w:rsidR="00793EA9" w:rsidRPr="00E632E2" w:rsidRDefault="00793EA9">
      <w:pPr>
        <w:pStyle w:val="Normal12Hanging"/>
      </w:pPr>
      <w:r w:rsidRPr="00E632E2">
        <w:t>–</w:t>
      </w:r>
      <w:r w:rsidRPr="00E632E2">
        <w:tab/>
      </w:r>
      <w:r w:rsidR="00D61396" w:rsidRPr="00E632E2">
        <w:t>having regard to the Commission proposal to Parliament and the Council (COM</w:t>
      </w:r>
      <w:r w:rsidR="007245FA" w:rsidRPr="00E632E2">
        <w:t>(2018)0355</w:t>
      </w:r>
      <w:r w:rsidR="00D61396" w:rsidRPr="00E632E2">
        <w:t>),</w:t>
      </w:r>
    </w:p>
    <w:p w14:paraId="4DDEB783" w14:textId="77777777" w:rsidR="00793EA9" w:rsidRPr="00E632E2" w:rsidRDefault="00793EA9">
      <w:pPr>
        <w:pStyle w:val="Normal12Hanging"/>
      </w:pPr>
      <w:r w:rsidRPr="00E632E2">
        <w:t>–</w:t>
      </w:r>
      <w:r w:rsidRPr="00E632E2">
        <w:tab/>
      </w:r>
      <w:r w:rsidR="00D61396" w:rsidRPr="00E632E2">
        <w:t>having regard to Article</w:t>
      </w:r>
      <w:r w:rsidR="007245FA" w:rsidRPr="00E632E2">
        <w:t> </w:t>
      </w:r>
      <w:r w:rsidR="00D61396" w:rsidRPr="00E632E2">
        <w:t xml:space="preserve">294(2) and </w:t>
      </w:r>
      <w:r w:rsidR="007245FA" w:rsidRPr="00E632E2">
        <w:t>Article 114</w:t>
      </w:r>
      <w:r w:rsidR="00D61396" w:rsidRPr="00E632E2">
        <w:t xml:space="preserve"> of the Treaty on the Functioning of the European Union, pursuant to which the Commission submitted the proposal to Parliament (</w:t>
      </w:r>
      <w:r w:rsidR="007245FA" w:rsidRPr="00E632E2">
        <w:t>C8</w:t>
      </w:r>
      <w:r w:rsidR="007245FA" w:rsidRPr="00E632E2">
        <w:noBreakHyphen/>
        <w:t>0209/2018</w:t>
      </w:r>
      <w:r w:rsidR="00D61396" w:rsidRPr="00E632E2">
        <w:t>),</w:t>
      </w:r>
    </w:p>
    <w:p w14:paraId="7432FC92" w14:textId="77777777" w:rsidR="00A26F46" w:rsidRPr="00E632E2" w:rsidRDefault="00A26F46" w:rsidP="00A26F46">
      <w:pPr>
        <w:pStyle w:val="Normal12Hanging"/>
      </w:pPr>
      <w:r w:rsidRPr="00E632E2">
        <w:t>–</w:t>
      </w:r>
      <w:r w:rsidRPr="00E632E2">
        <w:tab/>
      </w:r>
      <w:r w:rsidR="00D61396" w:rsidRPr="00E632E2">
        <w:t>having regard to Article 294(3) of the Treaty on the Functioning of the European Union,</w:t>
      </w:r>
    </w:p>
    <w:p w14:paraId="63106107" w14:textId="77777777" w:rsidR="00793EA9" w:rsidRPr="00E632E2" w:rsidRDefault="00793EA9">
      <w:pPr>
        <w:pStyle w:val="Normal12Hanging"/>
      </w:pPr>
      <w:r w:rsidRPr="00E632E2">
        <w:t>–</w:t>
      </w:r>
      <w:r w:rsidRPr="00E632E2">
        <w:tab/>
      </w:r>
      <w:r w:rsidR="007245FA" w:rsidRPr="00E632E2">
        <w:t>having regard to Rule 59 of its Rules of Procedure,</w:t>
      </w:r>
    </w:p>
    <w:p w14:paraId="06672A47" w14:textId="77777777" w:rsidR="00793EA9" w:rsidRPr="00E632E2" w:rsidRDefault="00793EA9">
      <w:pPr>
        <w:pStyle w:val="Normal12Hanging"/>
      </w:pPr>
      <w:r w:rsidRPr="00E632E2">
        <w:t>–</w:t>
      </w:r>
      <w:r w:rsidRPr="00E632E2">
        <w:tab/>
      </w:r>
      <w:r w:rsidR="00D61396" w:rsidRPr="00E632E2">
        <w:t xml:space="preserve">having regard to the report of the </w:t>
      </w:r>
      <w:r w:rsidR="007245FA" w:rsidRPr="00E632E2">
        <w:t>Committee on Economic and Monetary Affairs</w:t>
      </w:r>
      <w:r w:rsidR="00D61396" w:rsidRPr="00E632E2">
        <w:t xml:space="preserve"> </w:t>
      </w:r>
      <w:r w:rsidR="00060FD4" w:rsidRPr="00E632E2">
        <w:t xml:space="preserve">and the opinion of the Committee on </w:t>
      </w:r>
      <w:r w:rsidR="001E1AA5" w:rsidRPr="00E632E2">
        <w:t xml:space="preserve">the </w:t>
      </w:r>
      <w:r w:rsidR="00060FD4" w:rsidRPr="00E632E2">
        <w:t xml:space="preserve">Environment, Public Health and Food Safety </w:t>
      </w:r>
      <w:r w:rsidR="00D61396" w:rsidRPr="00E632E2">
        <w:t>(</w:t>
      </w:r>
      <w:r w:rsidR="007245FA" w:rsidRPr="00E632E2">
        <w:t>A8</w:t>
      </w:r>
      <w:r w:rsidR="007245FA" w:rsidRPr="00E632E2">
        <w:noBreakHyphen/>
      </w:r>
      <w:r w:rsidR="00D61396" w:rsidRPr="00E632E2">
        <w:t>0000/</w:t>
      </w:r>
      <w:r w:rsidR="007245FA" w:rsidRPr="00E632E2">
        <w:t>2018</w:t>
      </w:r>
      <w:r w:rsidR="00D61396" w:rsidRPr="00E632E2">
        <w:t>),</w:t>
      </w:r>
    </w:p>
    <w:p w14:paraId="3ECDAC60" w14:textId="77777777" w:rsidR="009F6C2F" w:rsidRPr="00E632E2" w:rsidRDefault="009F6C2F" w:rsidP="009F6C2F">
      <w:pPr>
        <w:pStyle w:val="Normal12Hanging"/>
      </w:pPr>
      <w:r w:rsidRPr="00E632E2">
        <w:t>1.</w:t>
      </w:r>
      <w:r w:rsidRPr="00E632E2">
        <w:tab/>
      </w:r>
      <w:r w:rsidR="00D61396" w:rsidRPr="00E632E2">
        <w:t>Adopts its position at first reading hereinafter set out;</w:t>
      </w:r>
    </w:p>
    <w:p w14:paraId="735ABCC2" w14:textId="77777777" w:rsidR="009F6C2F" w:rsidRPr="00E632E2" w:rsidRDefault="007245FA" w:rsidP="009F6C2F">
      <w:pPr>
        <w:pStyle w:val="Normal12Hanging"/>
      </w:pPr>
      <w:r w:rsidRPr="00E632E2">
        <w:t>2.</w:t>
      </w:r>
      <w:r w:rsidRPr="00E632E2">
        <w:tab/>
        <w:t>Calls on the Commission to refer the matter to Parliament again if it replaces, substantially amends or intends to substantially amend its proposal;</w:t>
      </w:r>
    </w:p>
    <w:p w14:paraId="7B084F2A" w14:textId="77777777" w:rsidR="009F6C2F" w:rsidRPr="00E632E2" w:rsidRDefault="007245FA" w:rsidP="009F6C2F">
      <w:pPr>
        <w:pStyle w:val="Normal12Hanging"/>
      </w:pPr>
      <w:r w:rsidRPr="00E632E2">
        <w:t>3.</w:t>
      </w:r>
      <w:r w:rsidRPr="00E632E2">
        <w:tab/>
        <w:t>Instructs its President to forward its position to the Council, the Commission and the national parliaments.</w:t>
      </w:r>
    </w:p>
    <w:p w14:paraId="08D205A8" w14:textId="7368B61F" w:rsidR="002669B6" w:rsidRPr="00E632E2" w:rsidRDefault="002669B6" w:rsidP="00212B84">
      <w:pPr>
        <w:pStyle w:val="AMNumberTabs"/>
        <w:keepNext/>
      </w:pPr>
      <w:r w:rsidRPr="00E632E2">
        <w:rPr>
          <w:rStyle w:val="HideTWBExt"/>
          <w:b w:val="0"/>
          <w:noProof w:val="0"/>
        </w:rPr>
        <w:t>&lt;RepeatBlock-Amend&gt;</w:t>
      </w:r>
      <w:bookmarkStart w:id="2" w:name="restart"/>
      <w:r w:rsidRPr="00E632E2">
        <w:rPr>
          <w:rStyle w:val="HideTWBExt"/>
          <w:b w:val="0"/>
          <w:noProof w:val="0"/>
        </w:rPr>
        <w:t>&lt;Amend&gt;</w:t>
      </w:r>
      <w:r w:rsidR="00D61396" w:rsidRPr="00E632E2">
        <w:t>Amendment</w:t>
      </w:r>
      <w:r w:rsidRPr="00E632E2">
        <w:tab/>
      </w:r>
      <w:r w:rsidRPr="00E632E2">
        <w:tab/>
      </w:r>
      <w:r w:rsidRPr="00E632E2">
        <w:rPr>
          <w:rStyle w:val="HideTWBExt"/>
          <w:b w:val="0"/>
          <w:noProof w:val="0"/>
        </w:rPr>
        <w:t>&lt;NumAm&gt;</w:t>
      </w:r>
      <w:r w:rsidR="002C6492" w:rsidRPr="00E632E2">
        <w:rPr>
          <w:color w:val="000000"/>
        </w:rPr>
        <w:t>1</w:t>
      </w:r>
      <w:r w:rsidRPr="00E632E2">
        <w:rPr>
          <w:rStyle w:val="HideTWBExt"/>
          <w:b w:val="0"/>
          <w:noProof w:val="0"/>
        </w:rPr>
        <w:t>&lt;/NumAm&gt;</w:t>
      </w:r>
    </w:p>
    <w:bookmarkEnd w:id="2"/>
    <w:p w14:paraId="7C2FBA32"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4E070AE5" w14:textId="77777777" w:rsidR="003F1540" w:rsidRPr="00E632E2" w:rsidRDefault="003F1540" w:rsidP="003F1540">
      <w:pPr>
        <w:pStyle w:val="NormalBold"/>
      </w:pPr>
      <w:r w:rsidRPr="00E632E2">
        <w:rPr>
          <w:rStyle w:val="HideTWBExt"/>
          <w:b w:val="0"/>
          <w:noProof w:val="0"/>
        </w:rPr>
        <w:t>&lt;Article&gt;</w:t>
      </w:r>
      <w:r w:rsidRPr="00E632E2">
        <w:t>Recital 3</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6A895A66" w14:textId="77777777" w:rsidTr="003F1540">
        <w:trPr>
          <w:jc w:val="center"/>
        </w:trPr>
        <w:tc>
          <w:tcPr>
            <w:tcW w:w="9752" w:type="dxa"/>
            <w:gridSpan w:val="2"/>
          </w:tcPr>
          <w:p w14:paraId="7F39E168" w14:textId="77777777" w:rsidR="003F1540" w:rsidRPr="00E632E2" w:rsidRDefault="003F1540">
            <w:pPr>
              <w:keepNext/>
            </w:pPr>
          </w:p>
        </w:tc>
      </w:tr>
      <w:tr w:rsidR="003F1540" w:rsidRPr="00E632E2" w14:paraId="0C749261" w14:textId="77777777" w:rsidTr="003F1540">
        <w:trPr>
          <w:jc w:val="center"/>
        </w:trPr>
        <w:tc>
          <w:tcPr>
            <w:tcW w:w="4876" w:type="dxa"/>
            <w:hideMark/>
          </w:tcPr>
          <w:p w14:paraId="325DF291" w14:textId="77777777" w:rsidR="003F1540" w:rsidRPr="00E632E2" w:rsidRDefault="003F1540">
            <w:pPr>
              <w:pStyle w:val="ColumnHeading"/>
              <w:keepNext/>
            </w:pPr>
            <w:r w:rsidRPr="00E632E2">
              <w:t>Text proposed by the Commission</w:t>
            </w:r>
          </w:p>
        </w:tc>
        <w:tc>
          <w:tcPr>
            <w:tcW w:w="4876" w:type="dxa"/>
            <w:hideMark/>
          </w:tcPr>
          <w:p w14:paraId="592F73A6" w14:textId="77777777" w:rsidR="003F1540" w:rsidRPr="00E632E2" w:rsidRDefault="003F1540">
            <w:pPr>
              <w:pStyle w:val="ColumnHeading"/>
              <w:keepNext/>
            </w:pPr>
            <w:r w:rsidRPr="00E632E2">
              <w:t>Amendment</w:t>
            </w:r>
          </w:p>
        </w:tc>
      </w:tr>
      <w:tr w:rsidR="003F1540" w:rsidRPr="00E632E2" w14:paraId="3D67B809" w14:textId="77777777" w:rsidTr="003F1540">
        <w:trPr>
          <w:jc w:val="center"/>
        </w:trPr>
        <w:tc>
          <w:tcPr>
            <w:tcW w:w="4876" w:type="dxa"/>
            <w:hideMark/>
          </w:tcPr>
          <w:p w14:paraId="6F205C5E" w14:textId="77777777" w:rsidR="003F1540" w:rsidRPr="00E632E2" w:rsidRDefault="003F1540">
            <w:pPr>
              <w:pStyle w:val="Normal6"/>
            </w:pPr>
            <w:r w:rsidRPr="00E632E2">
              <w:t>(3)</w:t>
            </w:r>
            <w:r w:rsidRPr="00E632E2">
              <w:tab/>
              <w:t>Sustainability and the transition to a low-carbon and climate resilient, more resource-efficient and circular economy are key in ensuring long-term competitiveness of the Union economy. Sustainability has long been at the heart of the Union project and the Union Treaties give recognition to its social and environmental dimensions.</w:t>
            </w:r>
          </w:p>
        </w:tc>
        <w:tc>
          <w:tcPr>
            <w:tcW w:w="4876" w:type="dxa"/>
            <w:hideMark/>
          </w:tcPr>
          <w:p w14:paraId="478466C7" w14:textId="00915D92" w:rsidR="003F1540" w:rsidRPr="00E632E2" w:rsidRDefault="003F1540" w:rsidP="00F43ABE">
            <w:pPr>
              <w:pStyle w:val="Normal6"/>
              <w:rPr>
                <w:szCs w:val="24"/>
              </w:rPr>
            </w:pPr>
            <w:r w:rsidRPr="00E632E2">
              <w:t>(3)</w:t>
            </w:r>
            <w:r w:rsidRPr="00E632E2">
              <w:tab/>
              <w:t xml:space="preserve">Sustainability and the transition to a low-carbon and climate resilient, more resource-efficient and circular economy are key in ensuring long-term competitiveness of the Union economy. Sustainability has long been at the heart of the Union project and the Union Treaties give recognition to its social and environmental dimensions. </w:t>
            </w:r>
            <w:r w:rsidR="003E5E14" w:rsidRPr="00E632E2">
              <w:rPr>
                <w:b/>
                <w:i/>
              </w:rPr>
              <w:t>T</w:t>
            </w:r>
            <w:r w:rsidRPr="00E632E2">
              <w:rPr>
                <w:b/>
                <w:i/>
              </w:rPr>
              <w:t xml:space="preserve">here is a limited window to transform </w:t>
            </w:r>
            <w:r w:rsidRPr="00E632E2">
              <w:rPr>
                <w:b/>
                <w:i/>
              </w:rPr>
              <w:lastRenderedPageBreak/>
              <w:t>the culture in the financial sector towards sustainable finance to ensure that global average temperature rise stays well below 2</w:t>
            </w:r>
            <w:r w:rsidR="00C45061" w:rsidRPr="00E632E2">
              <w:rPr>
                <w:b/>
                <w:i/>
                <w:vertAlign w:val="superscript"/>
              </w:rPr>
              <w:t>º</w:t>
            </w:r>
            <w:r w:rsidRPr="00E632E2">
              <w:rPr>
                <w:b/>
                <w:i/>
              </w:rPr>
              <w:t xml:space="preserve">C. Therefore, it is </w:t>
            </w:r>
            <w:r w:rsidR="00F43ABE" w:rsidRPr="00E632E2">
              <w:rPr>
                <w:b/>
                <w:i/>
              </w:rPr>
              <w:t xml:space="preserve">essential </w:t>
            </w:r>
            <w:r w:rsidRPr="00E632E2">
              <w:rPr>
                <w:b/>
                <w:i/>
              </w:rPr>
              <w:t>that new infrastructure investments are sustainable</w:t>
            </w:r>
            <w:r w:rsidR="00F43ABE" w:rsidRPr="00E632E2">
              <w:rPr>
                <w:b/>
                <w:i/>
              </w:rPr>
              <w:t xml:space="preserve"> in the long term</w:t>
            </w:r>
            <w:r w:rsidRPr="00E632E2">
              <w:rPr>
                <w:b/>
                <w:i/>
              </w:rPr>
              <w:t>.</w:t>
            </w:r>
          </w:p>
        </w:tc>
      </w:tr>
    </w:tbl>
    <w:p w14:paraId="4F0BFFA5" w14:textId="77777777" w:rsidR="003F1540" w:rsidRPr="00E632E2" w:rsidRDefault="003F1540" w:rsidP="003F1540">
      <w:pPr>
        <w:pStyle w:val="Olang"/>
        <w:rPr>
          <w:noProof w:val="0"/>
          <w:szCs w:val="24"/>
        </w:rPr>
      </w:pPr>
      <w:r w:rsidRPr="00E632E2">
        <w:rPr>
          <w:noProof w:val="0"/>
          <w:szCs w:val="24"/>
        </w:rPr>
        <w:lastRenderedPageBreak/>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1A5B36A2" w14:textId="77777777" w:rsidR="003F1540" w:rsidRPr="00E632E2" w:rsidRDefault="003F1540" w:rsidP="003F1540">
      <w:pPr>
        <w:rPr>
          <w:szCs w:val="24"/>
        </w:rPr>
      </w:pPr>
      <w:r w:rsidRPr="00E632E2">
        <w:rPr>
          <w:rStyle w:val="HideTWBExt"/>
          <w:noProof w:val="0"/>
        </w:rPr>
        <w:t>&lt;/Amend&gt;</w:t>
      </w:r>
    </w:p>
    <w:p w14:paraId="384BA896" w14:textId="63BF5F50"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2</w:t>
      </w:r>
      <w:r w:rsidRPr="00E632E2">
        <w:rPr>
          <w:rStyle w:val="HideTWBExt"/>
          <w:b w:val="0"/>
          <w:noProof w:val="0"/>
        </w:rPr>
        <w:t>&lt;/NumAm&gt;</w:t>
      </w:r>
    </w:p>
    <w:p w14:paraId="498F6420"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1D00ED1A" w14:textId="77777777" w:rsidR="003F1540" w:rsidRPr="00E632E2" w:rsidRDefault="003F1540" w:rsidP="003F1540">
      <w:pPr>
        <w:pStyle w:val="NormalBold"/>
      </w:pPr>
      <w:r w:rsidRPr="00E632E2">
        <w:rPr>
          <w:rStyle w:val="HideTWBExt"/>
          <w:b w:val="0"/>
          <w:noProof w:val="0"/>
        </w:rPr>
        <w:t>&lt;Article&gt;</w:t>
      </w:r>
      <w:r w:rsidRPr="00E632E2">
        <w:t>Recital 4</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332C0659" w14:textId="77777777" w:rsidTr="003F1540">
        <w:trPr>
          <w:jc w:val="center"/>
        </w:trPr>
        <w:tc>
          <w:tcPr>
            <w:tcW w:w="9752" w:type="dxa"/>
            <w:gridSpan w:val="2"/>
          </w:tcPr>
          <w:p w14:paraId="4794D13E" w14:textId="77777777" w:rsidR="003F1540" w:rsidRPr="00E632E2" w:rsidRDefault="003F1540">
            <w:pPr>
              <w:keepNext/>
            </w:pPr>
          </w:p>
        </w:tc>
      </w:tr>
      <w:tr w:rsidR="003F1540" w:rsidRPr="00E632E2" w14:paraId="0A6F2C9D" w14:textId="77777777" w:rsidTr="003F1540">
        <w:trPr>
          <w:jc w:val="center"/>
        </w:trPr>
        <w:tc>
          <w:tcPr>
            <w:tcW w:w="4876" w:type="dxa"/>
            <w:hideMark/>
          </w:tcPr>
          <w:p w14:paraId="3AFC6178" w14:textId="77777777" w:rsidR="003F1540" w:rsidRPr="00E632E2" w:rsidRDefault="003F1540">
            <w:pPr>
              <w:pStyle w:val="ColumnHeading"/>
              <w:keepNext/>
            </w:pPr>
            <w:r w:rsidRPr="00E632E2">
              <w:t>Text proposed by the Commission</w:t>
            </w:r>
          </w:p>
        </w:tc>
        <w:tc>
          <w:tcPr>
            <w:tcW w:w="4876" w:type="dxa"/>
            <w:hideMark/>
          </w:tcPr>
          <w:p w14:paraId="7F3409F6" w14:textId="77777777" w:rsidR="003F1540" w:rsidRPr="00E632E2" w:rsidRDefault="003F1540">
            <w:pPr>
              <w:pStyle w:val="ColumnHeading"/>
              <w:keepNext/>
            </w:pPr>
            <w:r w:rsidRPr="00E632E2">
              <w:t>Amendment</w:t>
            </w:r>
          </w:p>
        </w:tc>
      </w:tr>
      <w:tr w:rsidR="003F1540" w:rsidRPr="00E632E2" w14:paraId="5BE95D83" w14:textId="77777777" w:rsidTr="003F1540">
        <w:trPr>
          <w:jc w:val="center"/>
        </w:trPr>
        <w:tc>
          <w:tcPr>
            <w:tcW w:w="4876" w:type="dxa"/>
            <w:hideMark/>
          </w:tcPr>
          <w:p w14:paraId="660F3B74" w14:textId="77777777" w:rsidR="003F1540" w:rsidRPr="00E632E2" w:rsidRDefault="003F1540">
            <w:pPr>
              <w:pStyle w:val="Normal6"/>
            </w:pPr>
            <w:r w:rsidRPr="00E632E2">
              <w:t>(4)</w:t>
            </w:r>
            <w:r w:rsidRPr="00E632E2">
              <w:tab/>
              <w:t>In March 2018, the Commission published its Action Plan 'Financing Sustainable Growth'</w:t>
            </w:r>
            <w:r w:rsidRPr="00E632E2">
              <w:rPr>
                <w:vertAlign w:val="superscript"/>
              </w:rPr>
              <w:t>28</w:t>
            </w:r>
            <w:r w:rsidRPr="00E632E2">
              <w:t xml:space="preserve"> , setting up an ambitious and comprehensive strategy on sustainable finance. One of the objectives of that Action Plan is to reorient capital flows towards sustainable investment to achieve sustainable and inclusive growth.</w:t>
            </w:r>
          </w:p>
        </w:tc>
        <w:tc>
          <w:tcPr>
            <w:tcW w:w="4876" w:type="dxa"/>
            <w:hideMark/>
          </w:tcPr>
          <w:p w14:paraId="7168C8B9" w14:textId="67D93D97" w:rsidR="003F1540" w:rsidRPr="00E632E2" w:rsidRDefault="003F1540" w:rsidP="003E5E14">
            <w:pPr>
              <w:pStyle w:val="Normal6"/>
              <w:rPr>
                <w:szCs w:val="24"/>
              </w:rPr>
            </w:pPr>
            <w:r w:rsidRPr="00E632E2">
              <w:t>(4)</w:t>
            </w:r>
            <w:r w:rsidRPr="00E632E2">
              <w:tab/>
              <w:t>In March 2018, the Commission published its Action Plan 'Financing Sustainable Growth'</w:t>
            </w:r>
            <w:r w:rsidRPr="00E632E2">
              <w:rPr>
                <w:vertAlign w:val="superscript"/>
              </w:rPr>
              <w:t>28</w:t>
            </w:r>
            <w:r w:rsidRPr="00E632E2">
              <w:t xml:space="preserve"> , setting up an ambitious and comprehensive strategy on sustainable finance. One of the objectives of that Action Plan is to reorient capital flows towards sustainable investment to achieve sustainable and inclusive growth.</w:t>
            </w:r>
            <w:r w:rsidRPr="00E632E2">
              <w:rPr>
                <w:b/>
                <w:i/>
              </w:rPr>
              <w:t xml:space="preserve"> </w:t>
            </w:r>
            <w:r w:rsidR="003E5E14" w:rsidRPr="00E632E2">
              <w:rPr>
                <w:b/>
                <w:i/>
              </w:rPr>
              <w:t>G</w:t>
            </w:r>
            <w:r w:rsidRPr="00E632E2">
              <w:rPr>
                <w:b/>
                <w:i/>
              </w:rPr>
              <w:t xml:space="preserve">reater focus on limiting the impact of climate change </w:t>
            </w:r>
            <w:r w:rsidR="003E5E14" w:rsidRPr="00E632E2">
              <w:rPr>
                <w:b/>
                <w:i/>
              </w:rPr>
              <w:t>is</w:t>
            </w:r>
            <w:r w:rsidRPr="00E632E2">
              <w:rPr>
                <w:b/>
                <w:i/>
              </w:rPr>
              <w:t xml:space="preserve"> critical </w:t>
            </w:r>
            <w:r w:rsidR="003E5E14" w:rsidRPr="00E632E2">
              <w:rPr>
                <w:b/>
                <w:i/>
              </w:rPr>
              <w:t>as</w:t>
            </w:r>
            <w:r w:rsidRPr="00E632E2">
              <w:rPr>
                <w:b/>
                <w:i/>
              </w:rPr>
              <w:t xml:space="preserve"> disasters triggered by unpredictability of weather conditions</w:t>
            </w:r>
            <w:r w:rsidR="003E5E14" w:rsidRPr="00E632E2">
              <w:rPr>
                <w:b/>
                <w:i/>
              </w:rPr>
              <w:t xml:space="preserve"> have increased dramatically</w:t>
            </w:r>
            <w:r w:rsidRPr="00E632E2">
              <w:rPr>
                <w:b/>
                <w:i/>
              </w:rPr>
              <w:t>.</w:t>
            </w:r>
          </w:p>
        </w:tc>
      </w:tr>
      <w:tr w:rsidR="003F1540" w:rsidRPr="00E632E2" w14:paraId="6E2749FF" w14:textId="77777777" w:rsidTr="003F1540">
        <w:trPr>
          <w:jc w:val="center"/>
        </w:trPr>
        <w:tc>
          <w:tcPr>
            <w:tcW w:w="4876" w:type="dxa"/>
            <w:hideMark/>
          </w:tcPr>
          <w:p w14:paraId="22B5519E" w14:textId="77777777" w:rsidR="003F1540" w:rsidRPr="00E632E2" w:rsidRDefault="003F1540">
            <w:pPr>
              <w:pStyle w:val="Normal6"/>
            </w:pPr>
            <w:r w:rsidRPr="00E632E2">
              <w:t>__________________</w:t>
            </w:r>
          </w:p>
        </w:tc>
        <w:tc>
          <w:tcPr>
            <w:tcW w:w="4876" w:type="dxa"/>
            <w:hideMark/>
          </w:tcPr>
          <w:p w14:paraId="2108EAE0" w14:textId="77777777" w:rsidR="003F1540" w:rsidRPr="00E632E2" w:rsidRDefault="003F1540">
            <w:pPr>
              <w:pStyle w:val="Normal6"/>
              <w:rPr>
                <w:szCs w:val="24"/>
              </w:rPr>
            </w:pPr>
            <w:r w:rsidRPr="00E632E2">
              <w:t>__________________</w:t>
            </w:r>
          </w:p>
        </w:tc>
      </w:tr>
      <w:tr w:rsidR="003F1540" w:rsidRPr="00E632E2" w14:paraId="547F1673" w14:textId="77777777" w:rsidTr="003F1540">
        <w:trPr>
          <w:jc w:val="center"/>
        </w:trPr>
        <w:tc>
          <w:tcPr>
            <w:tcW w:w="4876" w:type="dxa"/>
            <w:hideMark/>
          </w:tcPr>
          <w:p w14:paraId="744EA56F" w14:textId="77777777" w:rsidR="003F1540" w:rsidRPr="00E632E2" w:rsidRDefault="003F1540">
            <w:pPr>
              <w:pStyle w:val="Normal6"/>
            </w:pPr>
            <w:r w:rsidRPr="00E632E2">
              <w:rPr>
                <w:vertAlign w:val="superscript"/>
              </w:rPr>
              <w:t>28</w:t>
            </w:r>
            <w:r w:rsidRPr="00E632E2">
              <w:t xml:space="preserve"> COM(2018) 97 final.</w:t>
            </w:r>
          </w:p>
        </w:tc>
        <w:tc>
          <w:tcPr>
            <w:tcW w:w="4876" w:type="dxa"/>
            <w:hideMark/>
          </w:tcPr>
          <w:p w14:paraId="082D7F73" w14:textId="77777777" w:rsidR="003F1540" w:rsidRPr="00E632E2" w:rsidRDefault="003F1540">
            <w:pPr>
              <w:pStyle w:val="Normal6"/>
              <w:rPr>
                <w:szCs w:val="24"/>
              </w:rPr>
            </w:pPr>
            <w:r w:rsidRPr="00E632E2">
              <w:rPr>
                <w:vertAlign w:val="superscript"/>
              </w:rPr>
              <w:t>28</w:t>
            </w:r>
            <w:r w:rsidRPr="00E632E2">
              <w:t xml:space="preserve"> COM(2018) 97 final.</w:t>
            </w:r>
          </w:p>
        </w:tc>
      </w:tr>
    </w:tbl>
    <w:p w14:paraId="2A8D120B"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00FA08CA" w14:textId="77777777" w:rsidR="003F1540" w:rsidRPr="00E632E2" w:rsidRDefault="003F1540" w:rsidP="003F1540">
      <w:pPr>
        <w:rPr>
          <w:szCs w:val="24"/>
        </w:rPr>
      </w:pPr>
      <w:r w:rsidRPr="00E632E2">
        <w:rPr>
          <w:rStyle w:val="HideTWBExt"/>
          <w:noProof w:val="0"/>
        </w:rPr>
        <w:t>&lt;/Amend&gt;</w:t>
      </w:r>
    </w:p>
    <w:p w14:paraId="132FEA3A" w14:textId="141CACFD"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3</w:t>
      </w:r>
      <w:r w:rsidRPr="00E632E2">
        <w:rPr>
          <w:rStyle w:val="HideTWBExt"/>
          <w:b w:val="0"/>
          <w:noProof w:val="0"/>
        </w:rPr>
        <w:t>&lt;/NumAm&gt;</w:t>
      </w:r>
    </w:p>
    <w:p w14:paraId="3039796E"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27F44572" w14:textId="77777777" w:rsidR="003F1540" w:rsidRPr="00E632E2" w:rsidRDefault="003F1540" w:rsidP="003F1540">
      <w:pPr>
        <w:pStyle w:val="NormalBold"/>
      </w:pPr>
      <w:r w:rsidRPr="00E632E2">
        <w:rPr>
          <w:rStyle w:val="HideTWBExt"/>
          <w:b w:val="0"/>
          <w:noProof w:val="0"/>
        </w:rPr>
        <w:t>&lt;Article&gt;</w:t>
      </w:r>
      <w:r w:rsidRPr="00E632E2">
        <w:t>Recital 7</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13250DA7" w14:textId="77777777" w:rsidTr="003F1540">
        <w:trPr>
          <w:jc w:val="center"/>
        </w:trPr>
        <w:tc>
          <w:tcPr>
            <w:tcW w:w="9752" w:type="dxa"/>
            <w:gridSpan w:val="2"/>
          </w:tcPr>
          <w:p w14:paraId="6118E564" w14:textId="77777777" w:rsidR="003F1540" w:rsidRPr="00E632E2" w:rsidRDefault="003F1540">
            <w:pPr>
              <w:keepNext/>
            </w:pPr>
          </w:p>
        </w:tc>
      </w:tr>
      <w:tr w:rsidR="003F1540" w:rsidRPr="00E632E2" w14:paraId="3616DC09" w14:textId="77777777" w:rsidTr="003F1540">
        <w:trPr>
          <w:jc w:val="center"/>
        </w:trPr>
        <w:tc>
          <w:tcPr>
            <w:tcW w:w="4876" w:type="dxa"/>
            <w:hideMark/>
          </w:tcPr>
          <w:p w14:paraId="0F897312" w14:textId="77777777" w:rsidR="003F1540" w:rsidRPr="00E632E2" w:rsidRDefault="003F1540">
            <w:pPr>
              <w:pStyle w:val="ColumnHeading"/>
              <w:keepNext/>
            </w:pPr>
            <w:r w:rsidRPr="00E632E2">
              <w:t>Text proposed by the Commission</w:t>
            </w:r>
          </w:p>
        </w:tc>
        <w:tc>
          <w:tcPr>
            <w:tcW w:w="4876" w:type="dxa"/>
            <w:hideMark/>
          </w:tcPr>
          <w:p w14:paraId="2710443F" w14:textId="77777777" w:rsidR="003F1540" w:rsidRPr="00E632E2" w:rsidRDefault="003F1540">
            <w:pPr>
              <w:pStyle w:val="ColumnHeading"/>
              <w:keepNext/>
            </w:pPr>
            <w:r w:rsidRPr="00E632E2">
              <w:t>Amendment</w:t>
            </w:r>
          </w:p>
        </w:tc>
      </w:tr>
      <w:tr w:rsidR="003F1540" w:rsidRPr="00E632E2" w14:paraId="0FEA775B" w14:textId="77777777" w:rsidTr="003F1540">
        <w:trPr>
          <w:jc w:val="center"/>
        </w:trPr>
        <w:tc>
          <w:tcPr>
            <w:tcW w:w="4876" w:type="dxa"/>
            <w:hideMark/>
          </w:tcPr>
          <w:p w14:paraId="2604131F" w14:textId="77777777" w:rsidR="003F1540" w:rsidRPr="00E632E2" w:rsidRDefault="003F1540">
            <w:pPr>
              <w:pStyle w:val="Normal6"/>
            </w:pPr>
            <w:r w:rsidRPr="00E632E2">
              <w:t>(7)</w:t>
            </w:r>
            <w:r w:rsidRPr="00E632E2">
              <w:tab/>
              <w:t>Regulation (EU) 2016/1011 of the European Parliament and of the Council</w:t>
            </w:r>
            <w:r w:rsidRPr="00E632E2">
              <w:rPr>
                <w:vertAlign w:val="superscript"/>
              </w:rPr>
              <w:t>30</w:t>
            </w:r>
            <w:r w:rsidRPr="00E632E2">
              <w:t xml:space="preserve"> establishes uniform rules for benchmarks in the Union and caters for different types </w:t>
            </w:r>
            <w:r w:rsidRPr="00E632E2">
              <w:lastRenderedPageBreak/>
              <w:t>of benchmark. An increasing number of investors pursue low-carbon investment strategies and take recourse to low-carbon benchmarks to reference or measure the performance of investment portfolios.</w:t>
            </w:r>
          </w:p>
        </w:tc>
        <w:tc>
          <w:tcPr>
            <w:tcW w:w="4876" w:type="dxa"/>
            <w:hideMark/>
          </w:tcPr>
          <w:p w14:paraId="055E5B8A" w14:textId="692997A6" w:rsidR="003F1540" w:rsidRPr="00E632E2" w:rsidRDefault="003F1540" w:rsidP="00F43ABE">
            <w:pPr>
              <w:pStyle w:val="Normal6"/>
              <w:rPr>
                <w:szCs w:val="24"/>
              </w:rPr>
            </w:pPr>
            <w:r w:rsidRPr="00E632E2">
              <w:lastRenderedPageBreak/>
              <w:t>(7)</w:t>
            </w:r>
            <w:r w:rsidRPr="00E632E2">
              <w:tab/>
              <w:t>Regulation (EU) 2016/1011 of the European Parliament and of the Council</w:t>
            </w:r>
            <w:r w:rsidRPr="00E632E2">
              <w:rPr>
                <w:vertAlign w:val="superscript"/>
              </w:rPr>
              <w:t>30</w:t>
            </w:r>
            <w:r w:rsidRPr="00E632E2">
              <w:t xml:space="preserve"> establishes uniform rules for benchmarks in the Union and caters for different types </w:t>
            </w:r>
            <w:r w:rsidRPr="00E632E2">
              <w:lastRenderedPageBreak/>
              <w:t xml:space="preserve">of benchmark. An increasing number of investors pursue low-carbon investment strategies and take recourse to low-carbon benchmarks to reference or measure the performance of investment portfolios. </w:t>
            </w:r>
            <w:r w:rsidR="003E5E14" w:rsidRPr="00E632E2">
              <w:rPr>
                <w:b/>
                <w:i/>
              </w:rPr>
              <w:t xml:space="preserve">The </w:t>
            </w:r>
            <w:r w:rsidRPr="00E632E2">
              <w:rPr>
                <w:b/>
                <w:i/>
              </w:rPr>
              <w:t xml:space="preserve">existing low carbon benchmarks are seriously prone to greenwashing. Thereforefinancial benchmarks </w:t>
            </w:r>
            <w:r w:rsidR="003E5E14" w:rsidRPr="00E632E2">
              <w:rPr>
                <w:b/>
                <w:i/>
              </w:rPr>
              <w:t xml:space="preserve">should be clear and transparent and </w:t>
            </w:r>
            <w:r w:rsidRPr="00E632E2">
              <w:rPr>
                <w:b/>
                <w:i/>
              </w:rPr>
              <w:t xml:space="preserve">aligned with the Paris </w:t>
            </w:r>
            <w:r w:rsidR="00827092" w:rsidRPr="00E632E2">
              <w:rPr>
                <w:b/>
                <w:i/>
              </w:rPr>
              <w:t>Climate A</w:t>
            </w:r>
            <w:r w:rsidRPr="00E632E2">
              <w:rPr>
                <w:b/>
                <w:i/>
              </w:rPr>
              <w:t>greement commitments as implemented in U</w:t>
            </w:r>
            <w:r w:rsidR="00F43ABE" w:rsidRPr="00E632E2">
              <w:rPr>
                <w:b/>
                <w:i/>
              </w:rPr>
              <w:t>nion</w:t>
            </w:r>
            <w:r w:rsidRPr="00E632E2">
              <w:rPr>
                <w:b/>
                <w:i/>
              </w:rPr>
              <w:t xml:space="preserve"> l</w:t>
            </w:r>
            <w:r w:rsidR="00F43ABE" w:rsidRPr="00E632E2">
              <w:rPr>
                <w:b/>
                <w:i/>
              </w:rPr>
              <w:t>aw</w:t>
            </w:r>
            <w:r w:rsidRPr="00E632E2">
              <w:rPr>
                <w:b/>
                <w:i/>
              </w:rPr>
              <w:t>, as an essential tool for investors.</w:t>
            </w:r>
          </w:p>
        </w:tc>
      </w:tr>
      <w:tr w:rsidR="003F1540" w:rsidRPr="00E632E2" w14:paraId="172380E6" w14:textId="77777777" w:rsidTr="003F1540">
        <w:trPr>
          <w:jc w:val="center"/>
        </w:trPr>
        <w:tc>
          <w:tcPr>
            <w:tcW w:w="4876" w:type="dxa"/>
            <w:hideMark/>
          </w:tcPr>
          <w:p w14:paraId="30F196B5" w14:textId="77777777" w:rsidR="003F1540" w:rsidRPr="00E632E2" w:rsidRDefault="003F1540">
            <w:pPr>
              <w:pStyle w:val="Normal6"/>
            </w:pPr>
            <w:r w:rsidRPr="00E632E2">
              <w:lastRenderedPageBreak/>
              <w:t>__________________</w:t>
            </w:r>
          </w:p>
        </w:tc>
        <w:tc>
          <w:tcPr>
            <w:tcW w:w="4876" w:type="dxa"/>
            <w:hideMark/>
          </w:tcPr>
          <w:p w14:paraId="3F2F5D85" w14:textId="77777777" w:rsidR="003F1540" w:rsidRPr="00E632E2" w:rsidRDefault="003F1540">
            <w:pPr>
              <w:pStyle w:val="Normal6"/>
              <w:rPr>
                <w:szCs w:val="24"/>
              </w:rPr>
            </w:pPr>
            <w:r w:rsidRPr="00E632E2">
              <w:t>__________________</w:t>
            </w:r>
          </w:p>
        </w:tc>
      </w:tr>
      <w:tr w:rsidR="003F1540" w:rsidRPr="00E632E2" w14:paraId="4B8E5561" w14:textId="77777777" w:rsidTr="003F1540">
        <w:trPr>
          <w:jc w:val="center"/>
        </w:trPr>
        <w:tc>
          <w:tcPr>
            <w:tcW w:w="4876" w:type="dxa"/>
            <w:hideMark/>
          </w:tcPr>
          <w:p w14:paraId="4814B944" w14:textId="77777777" w:rsidR="003F1540" w:rsidRPr="00E632E2" w:rsidRDefault="003F1540">
            <w:pPr>
              <w:pStyle w:val="Normal6"/>
            </w:pPr>
            <w:r w:rsidRPr="00E632E2">
              <w:rPr>
                <w:vertAlign w:val="superscript"/>
              </w:rPr>
              <w:t>30</w:t>
            </w:r>
            <w:r w:rsidRPr="00E632E2">
              <w:t xml:space="preserve">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(OJ L 171, 29.6.2016, p. 1).</w:t>
            </w:r>
          </w:p>
        </w:tc>
        <w:tc>
          <w:tcPr>
            <w:tcW w:w="4876" w:type="dxa"/>
            <w:hideMark/>
          </w:tcPr>
          <w:p w14:paraId="5E144B01" w14:textId="77777777" w:rsidR="003F1540" w:rsidRPr="00E632E2" w:rsidRDefault="003F1540">
            <w:pPr>
              <w:pStyle w:val="Normal6"/>
              <w:rPr>
                <w:szCs w:val="24"/>
              </w:rPr>
            </w:pPr>
            <w:r w:rsidRPr="00E632E2">
              <w:rPr>
                <w:vertAlign w:val="superscript"/>
              </w:rPr>
              <w:t>30</w:t>
            </w:r>
            <w:r w:rsidRPr="00E632E2">
              <w:t xml:space="preserve">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(OJ L 171, 29.6.2016, p. 1).</w:t>
            </w:r>
          </w:p>
        </w:tc>
      </w:tr>
    </w:tbl>
    <w:p w14:paraId="2E6E5949"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5A640056" w14:textId="77777777" w:rsidR="003F1540" w:rsidRPr="00E632E2" w:rsidRDefault="003F1540" w:rsidP="003F1540">
      <w:pPr>
        <w:rPr>
          <w:szCs w:val="24"/>
        </w:rPr>
      </w:pPr>
      <w:r w:rsidRPr="00E632E2">
        <w:rPr>
          <w:rStyle w:val="HideTWBExt"/>
          <w:noProof w:val="0"/>
        </w:rPr>
        <w:t>&lt;/Amend&gt;</w:t>
      </w:r>
    </w:p>
    <w:p w14:paraId="496DD3A2" w14:textId="7BABB55C"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4</w:t>
      </w:r>
      <w:r w:rsidRPr="00E632E2">
        <w:rPr>
          <w:rStyle w:val="HideTWBExt"/>
          <w:b w:val="0"/>
          <w:noProof w:val="0"/>
        </w:rPr>
        <w:t>&lt;/NumAm&gt;</w:t>
      </w:r>
    </w:p>
    <w:p w14:paraId="155CD960"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260C0474" w14:textId="77777777" w:rsidR="003F1540" w:rsidRPr="00E632E2" w:rsidRDefault="003F1540" w:rsidP="003F1540">
      <w:pPr>
        <w:pStyle w:val="NormalBold"/>
      </w:pPr>
      <w:r w:rsidRPr="00E632E2">
        <w:rPr>
          <w:rStyle w:val="HideTWBExt"/>
          <w:b w:val="0"/>
          <w:noProof w:val="0"/>
        </w:rPr>
        <w:t>&lt;Article&gt;</w:t>
      </w:r>
      <w:r w:rsidRPr="00E632E2">
        <w:t>Recital 9</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2A3C59E9" w14:textId="77777777" w:rsidTr="003F1540">
        <w:trPr>
          <w:jc w:val="center"/>
        </w:trPr>
        <w:tc>
          <w:tcPr>
            <w:tcW w:w="9752" w:type="dxa"/>
            <w:gridSpan w:val="2"/>
          </w:tcPr>
          <w:p w14:paraId="3613A20B" w14:textId="77777777" w:rsidR="003F1540" w:rsidRPr="00E632E2" w:rsidRDefault="003F1540">
            <w:pPr>
              <w:keepNext/>
            </w:pPr>
          </w:p>
        </w:tc>
      </w:tr>
      <w:tr w:rsidR="003F1540" w:rsidRPr="00E632E2" w14:paraId="66387CFB" w14:textId="77777777" w:rsidTr="003F1540">
        <w:trPr>
          <w:jc w:val="center"/>
        </w:trPr>
        <w:tc>
          <w:tcPr>
            <w:tcW w:w="4876" w:type="dxa"/>
            <w:hideMark/>
          </w:tcPr>
          <w:p w14:paraId="68521848" w14:textId="77777777" w:rsidR="003F1540" w:rsidRPr="00E632E2" w:rsidRDefault="003F1540">
            <w:pPr>
              <w:pStyle w:val="ColumnHeading"/>
              <w:keepNext/>
            </w:pPr>
            <w:r w:rsidRPr="00E632E2">
              <w:t>Text proposed by the Commission</w:t>
            </w:r>
          </w:p>
        </w:tc>
        <w:tc>
          <w:tcPr>
            <w:tcW w:w="4876" w:type="dxa"/>
            <w:hideMark/>
          </w:tcPr>
          <w:p w14:paraId="307A7DCA" w14:textId="77777777" w:rsidR="003F1540" w:rsidRPr="00E632E2" w:rsidRDefault="003F1540">
            <w:pPr>
              <w:pStyle w:val="ColumnHeading"/>
              <w:keepNext/>
            </w:pPr>
            <w:r w:rsidRPr="00E632E2">
              <w:t>Amendment</w:t>
            </w:r>
          </w:p>
        </w:tc>
      </w:tr>
      <w:tr w:rsidR="003F1540" w:rsidRPr="00E632E2" w14:paraId="03F86E4D" w14:textId="77777777" w:rsidTr="003F1540">
        <w:trPr>
          <w:jc w:val="center"/>
        </w:trPr>
        <w:tc>
          <w:tcPr>
            <w:tcW w:w="4876" w:type="dxa"/>
            <w:hideMark/>
          </w:tcPr>
          <w:p w14:paraId="201F97C8" w14:textId="77777777" w:rsidR="003F1540" w:rsidRPr="00E632E2" w:rsidRDefault="003F1540">
            <w:pPr>
              <w:pStyle w:val="Normal6"/>
            </w:pPr>
            <w:r w:rsidRPr="00E632E2">
              <w:t>(9)</w:t>
            </w:r>
            <w:r w:rsidRPr="00E632E2">
              <w:tab/>
              <w:t>Different categories of low carbon indices with various degrees of ambition have emerged in the marketplace. While some benchmarks aim to lower the carbon footprint of a standard investment portfolio, others aim to select only components that contribute to attaining the 2°C degree objective set out in the Paris Climate Agreement. Despite differences in objectives and strategies, all of these benchmarks are commonly promoted as low-carbon benchmarks.</w:t>
            </w:r>
          </w:p>
        </w:tc>
        <w:tc>
          <w:tcPr>
            <w:tcW w:w="4876" w:type="dxa"/>
            <w:hideMark/>
          </w:tcPr>
          <w:p w14:paraId="770E8B06" w14:textId="5689D4E9" w:rsidR="003F1540" w:rsidRPr="00E632E2" w:rsidRDefault="003F1540" w:rsidP="00F43ABE">
            <w:pPr>
              <w:pStyle w:val="Normal6"/>
              <w:rPr>
                <w:szCs w:val="24"/>
              </w:rPr>
            </w:pPr>
            <w:r w:rsidRPr="00E632E2">
              <w:t>(9)</w:t>
            </w:r>
            <w:r w:rsidRPr="00E632E2">
              <w:tab/>
              <w:t xml:space="preserve">Different categories of low carbon indices with various degrees of ambition have emerged in the marketplace. While some benchmarks aim to lower the carbon footprint of a standard investment portfolio, others aim to select only components that contribute to attaining the 2°C degree objective set out in the Paris Climate Agreement. Despite differences in objectives and strategies, all of these benchmarks are commonly promoted as low-carbon benchmarks. </w:t>
            </w:r>
            <w:r w:rsidRPr="00E632E2">
              <w:rPr>
                <w:b/>
                <w:i/>
              </w:rPr>
              <w:t xml:space="preserve">There are serious risks </w:t>
            </w:r>
            <w:r w:rsidR="00F43ABE" w:rsidRPr="00E632E2">
              <w:rPr>
                <w:b/>
                <w:i/>
              </w:rPr>
              <w:t>associated with such</w:t>
            </w:r>
            <w:r w:rsidRPr="00E632E2">
              <w:rPr>
                <w:b/>
                <w:i/>
              </w:rPr>
              <w:t xml:space="preserve"> type</w:t>
            </w:r>
            <w:r w:rsidR="00F43ABE" w:rsidRPr="00E632E2">
              <w:rPr>
                <w:b/>
                <w:i/>
              </w:rPr>
              <w:t>s</w:t>
            </w:r>
            <w:r w:rsidRPr="00E632E2">
              <w:rPr>
                <w:b/>
                <w:i/>
              </w:rPr>
              <w:t xml:space="preserve"> of </w:t>
            </w:r>
            <w:r w:rsidR="00F43ABE" w:rsidRPr="00E632E2">
              <w:rPr>
                <w:b/>
                <w:i/>
              </w:rPr>
              <w:lastRenderedPageBreak/>
              <w:t>benchmarks,</w:t>
            </w:r>
            <w:r w:rsidRPr="00E632E2">
              <w:rPr>
                <w:b/>
                <w:i/>
              </w:rPr>
              <w:t xml:space="preserve"> as they are likely to create confusion amongst investors and increase the likelihood of greenwashing.</w:t>
            </w:r>
          </w:p>
        </w:tc>
      </w:tr>
    </w:tbl>
    <w:p w14:paraId="6CAC4308" w14:textId="77777777" w:rsidR="003F1540" w:rsidRPr="00E632E2" w:rsidRDefault="003F1540" w:rsidP="003F1540">
      <w:pPr>
        <w:pStyle w:val="Olang"/>
        <w:rPr>
          <w:noProof w:val="0"/>
          <w:szCs w:val="24"/>
        </w:rPr>
      </w:pPr>
      <w:r w:rsidRPr="00E632E2">
        <w:rPr>
          <w:noProof w:val="0"/>
          <w:szCs w:val="24"/>
        </w:rPr>
        <w:lastRenderedPageBreak/>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2794798D" w14:textId="77777777" w:rsidR="003F1540" w:rsidRPr="00E632E2" w:rsidRDefault="003F1540" w:rsidP="003F1540">
      <w:pPr>
        <w:rPr>
          <w:szCs w:val="24"/>
        </w:rPr>
      </w:pPr>
      <w:r w:rsidRPr="00E632E2">
        <w:rPr>
          <w:rStyle w:val="HideTWBExt"/>
          <w:noProof w:val="0"/>
        </w:rPr>
        <w:t>&lt;/Amend&gt;</w:t>
      </w:r>
    </w:p>
    <w:p w14:paraId="0607E294" w14:textId="00B9C484"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5</w:t>
      </w:r>
      <w:r w:rsidRPr="00E632E2">
        <w:rPr>
          <w:rStyle w:val="HideTWBExt"/>
          <w:b w:val="0"/>
          <w:noProof w:val="0"/>
        </w:rPr>
        <w:t>&lt;/NumAm&gt;</w:t>
      </w:r>
    </w:p>
    <w:p w14:paraId="778BFEC3"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50B9651E" w14:textId="77777777" w:rsidR="003F1540" w:rsidRPr="00E632E2" w:rsidRDefault="003F1540" w:rsidP="003F1540">
      <w:pPr>
        <w:pStyle w:val="NormalBold"/>
      </w:pPr>
      <w:r w:rsidRPr="00E632E2">
        <w:rPr>
          <w:rStyle w:val="HideTWBExt"/>
          <w:b w:val="0"/>
          <w:noProof w:val="0"/>
        </w:rPr>
        <w:t>&lt;Article&gt;</w:t>
      </w:r>
      <w:r w:rsidRPr="00E632E2">
        <w:t>Recital 12</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1F512D37" w14:textId="77777777" w:rsidTr="003F1540">
        <w:trPr>
          <w:jc w:val="center"/>
        </w:trPr>
        <w:tc>
          <w:tcPr>
            <w:tcW w:w="9752" w:type="dxa"/>
            <w:gridSpan w:val="2"/>
          </w:tcPr>
          <w:p w14:paraId="7369077D" w14:textId="77777777" w:rsidR="003F1540" w:rsidRPr="00E632E2" w:rsidRDefault="003F1540">
            <w:pPr>
              <w:keepNext/>
            </w:pPr>
          </w:p>
        </w:tc>
      </w:tr>
      <w:tr w:rsidR="003F1540" w:rsidRPr="00E632E2" w14:paraId="23470FEE" w14:textId="77777777" w:rsidTr="003F1540">
        <w:trPr>
          <w:jc w:val="center"/>
        </w:trPr>
        <w:tc>
          <w:tcPr>
            <w:tcW w:w="4876" w:type="dxa"/>
            <w:hideMark/>
          </w:tcPr>
          <w:p w14:paraId="0840528D" w14:textId="77777777" w:rsidR="003F1540" w:rsidRPr="00E632E2" w:rsidRDefault="003F1540">
            <w:pPr>
              <w:pStyle w:val="ColumnHeading"/>
              <w:keepNext/>
            </w:pPr>
            <w:r w:rsidRPr="00E632E2">
              <w:t>Text proposed by the Commission</w:t>
            </w:r>
          </w:p>
        </w:tc>
        <w:tc>
          <w:tcPr>
            <w:tcW w:w="4876" w:type="dxa"/>
            <w:hideMark/>
          </w:tcPr>
          <w:p w14:paraId="26ABAE36" w14:textId="77777777" w:rsidR="003F1540" w:rsidRPr="00E632E2" w:rsidRDefault="003F1540">
            <w:pPr>
              <w:pStyle w:val="ColumnHeading"/>
              <w:keepNext/>
            </w:pPr>
            <w:r w:rsidRPr="00E632E2">
              <w:t>Amendment</w:t>
            </w:r>
          </w:p>
        </w:tc>
      </w:tr>
      <w:tr w:rsidR="003F1540" w:rsidRPr="00E632E2" w14:paraId="1339094B" w14:textId="77777777" w:rsidTr="003F1540">
        <w:trPr>
          <w:jc w:val="center"/>
        </w:trPr>
        <w:tc>
          <w:tcPr>
            <w:tcW w:w="4876" w:type="dxa"/>
            <w:hideMark/>
          </w:tcPr>
          <w:p w14:paraId="783AEDC8" w14:textId="77777777" w:rsidR="003F1540" w:rsidRPr="00E632E2" w:rsidRDefault="003F1540">
            <w:pPr>
              <w:pStyle w:val="Normal6"/>
            </w:pPr>
            <w:r w:rsidRPr="00E632E2">
              <w:t>(12)</w:t>
            </w:r>
            <w:r w:rsidRPr="00E632E2">
              <w:tab/>
              <w:t xml:space="preserve">Therefore, to maintain the proper functioning of the internal market, to further improve the conditions of its functioning, </w:t>
            </w:r>
            <w:r w:rsidRPr="00E632E2">
              <w:rPr>
                <w:b/>
                <w:i/>
              </w:rPr>
              <w:t>and</w:t>
            </w:r>
            <w:r w:rsidRPr="00E632E2">
              <w:t xml:space="preserve"> to ensure a high level of consumer and investor protection, it is appropriate to adapt Regulation (EU) 2016/1011 </w:t>
            </w:r>
            <w:r w:rsidRPr="00E632E2">
              <w:rPr>
                <w:b/>
                <w:i/>
              </w:rPr>
              <w:t>to lay down a regulatory framework for harmonised low carbon benchmarks at Union level</w:t>
            </w:r>
            <w:r w:rsidRPr="00E632E2">
              <w:t>.</w:t>
            </w:r>
          </w:p>
        </w:tc>
        <w:tc>
          <w:tcPr>
            <w:tcW w:w="4876" w:type="dxa"/>
            <w:hideMark/>
          </w:tcPr>
          <w:p w14:paraId="07C10713" w14:textId="120D78ED" w:rsidR="003F1540" w:rsidRPr="00E632E2" w:rsidRDefault="003F1540" w:rsidP="00F43ABE">
            <w:pPr>
              <w:pStyle w:val="Normal6"/>
              <w:rPr>
                <w:szCs w:val="24"/>
              </w:rPr>
            </w:pPr>
            <w:r w:rsidRPr="00E632E2">
              <w:t>(12)</w:t>
            </w:r>
            <w:r w:rsidRPr="00E632E2">
              <w:tab/>
              <w:t xml:space="preserve">Therefore, to maintain the proper functioning of the internal market, to further improve the conditions of its functioning, to ensure a high level of consumer and investor protection </w:t>
            </w:r>
            <w:r w:rsidR="00F43ABE" w:rsidRPr="00E632E2">
              <w:rPr>
                <w:b/>
                <w:i/>
              </w:rPr>
              <w:t xml:space="preserve">and </w:t>
            </w:r>
            <w:r w:rsidRPr="00E632E2">
              <w:rPr>
                <w:b/>
                <w:i/>
              </w:rPr>
              <w:t xml:space="preserve">to ensure that investments in the </w:t>
            </w:r>
            <w:r w:rsidR="00F43ABE" w:rsidRPr="00E632E2">
              <w:rPr>
                <w:b/>
                <w:i/>
              </w:rPr>
              <w:t xml:space="preserve">Union </w:t>
            </w:r>
            <w:r w:rsidRPr="00E632E2">
              <w:rPr>
                <w:b/>
                <w:i/>
              </w:rPr>
              <w:t xml:space="preserve">economy </w:t>
            </w:r>
            <w:r w:rsidR="00F43ABE" w:rsidRPr="00E632E2">
              <w:rPr>
                <w:b/>
                <w:i/>
              </w:rPr>
              <w:t xml:space="preserve">are </w:t>
            </w:r>
            <w:r w:rsidRPr="00E632E2">
              <w:rPr>
                <w:b/>
                <w:i/>
              </w:rPr>
              <w:t xml:space="preserve">aligned with the Paris </w:t>
            </w:r>
            <w:r w:rsidR="00827092" w:rsidRPr="00E632E2">
              <w:rPr>
                <w:b/>
                <w:i/>
              </w:rPr>
              <w:t xml:space="preserve">Climate </w:t>
            </w:r>
            <w:r w:rsidRPr="00E632E2">
              <w:rPr>
                <w:b/>
                <w:i/>
              </w:rPr>
              <w:t>Agreement commitments as implemented in U</w:t>
            </w:r>
            <w:r w:rsidR="00F43ABE" w:rsidRPr="00E632E2">
              <w:rPr>
                <w:b/>
                <w:i/>
              </w:rPr>
              <w:t>nion</w:t>
            </w:r>
            <w:r w:rsidRPr="00E632E2">
              <w:rPr>
                <w:b/>
                <w:i/>
              </w:rPr>
              <w:t xml:space="preserve"> l</w:t>
            </w:r>
            <w:r w:rsidR="00F43ABE" w:rsidRPr="00E632E2">
              <w:rPr>
                <w:b/>
                <w:i/>
              </w:rPr>
              <w:t>aw</w:t>
            </w:r>
            <w:r w:rsidRPr="00E632E2">
              <w:rPr>
                <w:b/>
                <w:i/>
              </w:rPr>
              <w:t xml:space="preserve"> and in </w:t>
            </w:r>
            <w:r w:rsidR="00F43ABE" w:rsidRPr="00E632E2">
              <w:rPr>
                <w:b/>
                <w:i/>
              </w:rPr>
              <w:t xml:space="preserve">that </w:t>
            </w:r>
            <w:r w:rsidRPr="00E632E2">
              <w:rPr>
                <w:b/>
                <w:i/>
              </w:rPr>
              <w:t xml:space="preserve">way to get a greater use of </w:t>
            </w:r>
            <w:r w:rsidR="00F43ABE" w:rsidRPr="00E632E2">
              <w:rPr>
                <w:b/>
                <w:i/>
              </w:rPr>
              <w:t xml:space="preserve">the </w:t>
            </w:r>
            <w:r w:rsidRPr="00E632E2">
              <w:rPr>
                <w:b/>
                <w:i/>
              </w:rPr>
              <w:t>'pure play low-carbon index'</w:t>
            </w:r>
            <w:r w:rsidRPr="00E632E2">
              <w:t>, it is appropriate to adapt Regulation (EU) 2016/1011.</w:t>
            </w:r>
          </w:p>
        </w:tc>
      </w:tr>
    </w:tbl>
    <w:p w14:paraId="0E264E3A"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6E93C196" w14:textId="77777777" w:rsidR="003F1540" w:rsidRPr="00E632E2" w:rsidRDefault="003F1540" w:rsidP="003F1540">
      <w:pPr>
        <w:rPr>
          <w:szCs w:val="24"/>
        </w:rPr>
      </w:pPr>
      <w:r w:rsidRPr="00E632E2">
        <w:rPr>
          <w:rStyle w:val="HideTWBExt"/>
          <w:noProof w:val="0"/>
        </w:rPr>
        <w:t>&lt;/Amend&gt;</w:t>
      </w:r>
    </w:p>
    <w:p w14:paraId="35769260" w14:textId="29E4D365"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6</w:t>
      </w:r>
      <w:r w:rsidRPr="00E632E2">
        <w:rPr>
          <w:rStyle w:val="HideTWBExt"/>
          <w:b w:val="0"/>
          <w:noProof w:val="0"/>
        </w:rPr>
        <w:t>&lt;/NumAm&gt;</w:t>
      </w:r>
    </w:p>
    <w:p w14:paraId="20DA4285"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7036B364" w14:textId="77777777" w:rsidR="003F1540" w:rsidRPr="00E632E2" w:rsidRDefault="003F1540" w:rsidP="003F1540">
      <w:pPr>
        <w:pStyle w:val="NormalBold"/>
      </w:pPr>
      <w:r w:rsidRPr="00E632E2">
        <w:rPr>
          <w:rStyle w:val="HideTWBExt"/>
          <w:b w:val="0"/>
          <w:noProof w:val="0"/>
        </w:rPr>
        <w:t>&lt;Article&gt;</w:t>
      </w:r>
      <w:r w:rsidRPr="00E632E2">
        <w:t>Recital 14</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25D309E5" w14:textId="77777777" w:rsidTr="003F1540">
        <w:trPr>
          <w:jc w:val="center"/>
        </w:trPr>
        <w:tc>
          <w:tcPr>
            <w:tcW w:w="9752" w:type="dxa"/>
            <w:gridSpan w:val="2"/>
          </w:tcPr>
          <w:p w14:paraId="7D8D03AD" w14:textId="77777777" w:rsidR="003F1540" w:rsidRPr="00E632E2" w:rsidRDefault="003F1540">
            <w:pPr>
              <w:keepNext/>
            </w:pPr>
          </w:p>
        </w:tc>
      </w:tr>
      <w:tr w:rsidR="003F1540" w:rsidRPr="00E632E2" w14:paraId="50B4518F" w14:textId="77777777" w:rsidTr="003F1540">
        <w:trPr>
          <w:jc w:val="center"/>
        </w:trPr>
        <w:tc>
          <w:tcPr>
            <w:tcW w:w="4876" w:type="dxa"/>
            <w:hideMark/>
          </w:tcPr>
          <w:p w14:paraId="2C2F6E62" w14:textId="77777777" w:rsidR="003F1540" w:rsidRPr="00E632E2" w:rsidRDefault="003F1540">
            <w:pPr>
              <w:pStyle w:val="ColumnHeading"/>
              <w:keepNext/>
            </w:pPr>
            <w:r w:rsidRPr="00E632E2">
              <w:t>Text proposed by the Commission</w:t>
            </w:r>
          </w:p>
        </w:tc>
        <w:tc>
          <w:tcPr>
            <w:tcW w:w="4876" w:type="dxa"/>
            <w:hideMark/>
          </w:tcPr>
          <w:p w14:paraId="32AA776D" w14:textId="77777777" w:rsidR="003F1540" w:rsidRPr="00E632E2" w:rsidRDefault="003F1540">
            <w:pPr>
              <w:pStyle w:val="ColumnHeading"/>
              <w:keepNext/>
            </w:pPr>
            <w:r w:rsidRPr="00E632E2">
              <w:t>Amendment</w:t>
            </w:r>
          </w:p>
        </w:tc>
      </w:tr>
      <w:tr w:rsidR="003F1540" w:rsidRPr="00E632E2" w14:paraId="1032CC79" w14:textId="77777777" w:rsidTr="003F1540">
        <w:trPr>
          <w:jc w:val="center"/>
        </w:trPr>
        <w:tc>
          <w:tcPr>
            <w:tcW w:w="4876" w:type="dxa"/>
            <w:hideMark/>
          </w:tcPr>
          <w:p w14:paraId="30A9C74C" w14:textId="77777777" w:rsidR="003F1540" w:rsidRPr="00E632E2" w:rsidRDefault="003F1540">
            <w:pPr>
              <w:pStyle w:val="Normal6"/>
            </w:pPr>
            <w:r w:rsidRPr="00E632E2">
              <w:t>(14)</w:t>
            </w:r>
            <w:r w:rsidRPr="00E632E2">
              <w:tab/>
              <w:t xml:space="preserve">Each company whose assets are selected as underlying in a positive impact benchmark should save more carbon emissions than it produces, hence have a positive impact on the environment. </w:t>
            </w:r>
            <w:r w:rsidRPr="00E632E2">
              <w:rPr>
                <w:b/>
                <w:i/>
              </w:rPr>
              <w:t>The</w:t>
            </w:r>
            <w:r w:rsidRPr="00E632E2">
              <w:t xml:space="preserve"> asset and portfolio managers </w:t>
            </w:r>
            <w:r w:rsidRPr="00E632E2">
              <w:rPr>
                <w:b/>
                <w:i/>
              </w:rPr>
              <w:t>who claim to</w:t>
            </w:r>
            <w:r w:rsidRPr="00E632E2">
              <w:t xml:space="preserve"> pursue an investment strategy </w:t>
            </w:r>
            <w:r w:rsidRPr="00E632E2">
              <w:rPr>
                <w:b/>
                <w:i/>
              </w:rPr>
              <w:t>compatible</w:t>
            </w:r>
            <w:r w:rsidRPr="00E632E2">
              <w:t xml:space="preserve"> with the Paris Climate Agreement </w:t>
            </w:r>
            <w:r w:rsidRPr="00E632E2">
              <w:rPr>
                <w:b/>
                <w:i/>
              </w:rPr>
              <w:t xml:space="preserve">should therefore use positive carbon impact </w:t>
            </w:r>
            <w:r w:rsidRPr="00E632E2">
              <w:rPr>
                <w:b/>
                <w:i/>
              </w:rPr>
              <w:lastRenderedPageBreak/>
              <w:t>benchmarks</w:t>
            </w:r>
            <w:r w:rsidRPr="00E632E2">
              <w:t>.</w:t>
            </w:r>
          </w:p>
        </w:tc>
        <w:tc>
          <w:tcPr>
            <w:tcW w:w="4876" w:type="dxa"/>
            <w:hideMark/>
          </w:tcPr>
          <w:p w14:paraId="7C4F7B1C" w14:textId="5D6F26B7" w:rsidR="003F1540" w:rsidRPr="00E632E2" w:rsidRDefault="003F1540" w:rsidP="00F43ABE">
            <w:pPr>
              <w:pStyle w:val="Normal6"/>
              <w:rPr>
                <w:szCs w:val="24"/>
              </w:rPr>
            </w:pPr>
            <w:r w:rsidRPr="00E632E2">
              <w:lastRenderedPageBreak/>
              <w:t>(14)</w:t>
            </w:r>
            <w:r w:rsidRPr="00E632E2">
              <w:tab/>
              <w:t xml:space="preserve">Each company whose assets are selected as underlying in a positive impact benchmark should save </w:t>
            </w:r>
            <w:r w:rsidRPr="00E632E2">
              <w:rPr>
                <w:b/>
                <w:i/>
              </w:rPr>
              <w:t>considerably</w:t>
            </w:r>
            <w:r w:rsidRPr="00E632E2">
              <w:t xml:space="preserve"> more carbon emissions than it produces, hence have a positive impact on the environment. </w:t>
            </w:r>
            <w:r w:rsidRPr="00E632E2">
              <w:rPr>
                <w:b/>
                <w:i/>
              </w:rPr>
              <w:t>By 2022</w:t>
            </w:r>
            <w:r w:rsidR="00F43ABE" w:rsidRPr="00E632E2">
              <w:rPr>
                <w:b/>
                <w:i/>
              </w:rPr>
              <w:t>,</w:t>
            </w:r>
            <w:r w:rsidRPr="00E632E2">
              <w:rPr>
                <w:b/>
                <w:i/>
              </w:rPr>
              <w:t xml:space="preserve"> all</w:t>
            </w:r>
            <w:r w:rsidRPr="00E632E2">
              <w:t xml:space="preserve"> asset and portfolio managers </w:t>
            </w:r>
            <w:r w:rsidRPr="00E632E2">
              <w:rPr>
                <w:b/>
                <w:i/>
              </w:rPr>
              <w:t>should</w:t>
            </w:r>
            <w:r w:rsidRPr="00E632E2">
              <w:t xml:space="preserve"> pursue an investment strategy </w:t>
            </w:r>
            <w:r w:rsidRPr="00E632E2">
              <w:rPr>
                <w:b/>
                <w:i/>
              </w:rPr>
              <w:t>fully aligned</w:t>
            </w:r>
            <w:r w:rsidRPr="00E632E2">
              <w:t xml:space="preserve"> with the Paris Climate Agreement </w:t>
            </w:r>
            <w:r w:rsidRPr="00E632E2">
              <w:rPr>
                <w:b/>
                <w:i/>
              </w:rPr>
              <w:t>co</w:t>
            </w:r>
            <w:r w:rsidR="00C45061" w:rsidRPr="00E632E2">
              <w:rPr>
                <w:b/>
                <w:i/>
              </w:rPr>
              <w:t>mmitments as implemented in U</w:t>
            </w:r>
            <w:r w:rsidR="00F43ABE" w:rsidRPr="00E632E2">
              <w:rPr>
                <w:b/>
                <w:i/>
              </w:rPr>
              <w:t>nion</w:t>
            </w:r>
            <w:r w:rsidR="00C45061" w:rsidRPr="00E632E2">
              <w:rPr>
                <w:b/>
                <w:i/>
              </w:rPr>
              <w:t xml:space="preserve"> </w:t>
            </w:r>
            <w:r w:rsidRPr="00E632E2">
              <w:rPr>
                <w:b/>
                <w:i/>
              </w:rPr>
              <w:lastRenderedPageBreak/>
              <w:t>l</w:t>
            </w:r>
            <w:r w:rsidR="00F43ABE" w:rsidRPr="00E632E2">
              <w:rPr>
                <w:b/>
                <w:i/>
              </w:rPr>
              <w:t>aw</w:t>
            </w:r>
            <w:r w:rsidRPr="00E632E2">
              <w:t>.</w:t>
            </w:r>
          </w:p>
        </w:tc>
      </w:tr>
    </w:tbl>
    <w:p w14:paraId="07DAF5A2" w14:textId="77777777" w:rsidR="003F1540" w:rsidRPr="00E632E2" w:rsidRDefault="003F1540" w:rsidP="003F1540">
      <w:pPr>
        <w:pStyle w:val="Olang"/>
        <w:rPr>
          <w:noProof w:val="0"/>
          <w:szCs w:val="24"/>
        </w:rPr>
      </w:pPr>
      <w:r w:rsidRPr="00E632E2">
        <w:rPr>
          <w:noProof w:val="0"/>
          <w:szCs w:val="24"/>
        </w:rPr>
        <w:lastRenderedPageBreak/>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760DF9C0" w14:textId="77777777" w:rsidR="003F1540" w:rsidRPr="00E632E2" w:rsidRDefault="003F1540" w:rsidP="003F1540">
      <w:pPr>
        <w:rPr>
          <w:szCs w:val="24"/>
        </w:rPr>
      </w:pPr>
      <w:r w:rsidRPr="00E632E2">
        <w:rPr>
          <w:rStyle w:val="HideTWBExt"/>
          <w:noProof w:val="0"/>
        </w:rPr>
        <w:t>&lt;/Amend&gt;</w:t>
      </w:r>
    </w:p>
    <w:p w14:paraId="113339E8" w14:textId="0C2D1BD1"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7</w:t>
      </w:r>
      <w:r w:rsidRPr="00E632E2">
        <w:rPr>
          <w:rStyle w:val="HideTWBExt"/>
          <w:b w:val="0"/>
          <w:noProof w:val="0"/>
        </w:rPr>
        <w:t>&lt;/NumAm&gt;</w:t>
      </w:r>
    </w:p>
    <w:p w14:paraId="75413632"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61C90FDA" w14:textId="77777777" w:rsidR="003F1540" w:rsidRPr="00E632E2" w:rsidRDefault="003F1540" w:rsidP="003F1540">
      <w:pPr>
        <w:pStyle w:val="NormalBold"/>
      </w:pPr>
      <w:r w:rsidRPr="00E632E2">
        <w:rPr>
          <w:rStyle w:val="HideTWBExt"/>
          <w:b w:val="0"/>
          <w:noProof w:val="0"/>
        </w:rPr>
        <w:t>&lt;Article&gt;</w:t>
      </w:r>
      <w:r w:rsidRPr="00E632E2">
        <w:t>Recital 15</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26E024F1" w14:textId="77777777" w:rsidTr="003F1540">
        <w:trPr>
          <w:jc w:val="center"/>
        </w:trPr>
        <w:tc>
          <w:tcPr>
            <w:tcW w:w="9752" w:type="dxa"/>
            <w:gridSpan w:val="2"/>
          </w:tcPr>
          <w:p w14:paraId="7972096A" w14:textId="77777777" w:rsidR="003F1540" w:rsidRPr="00E632E2" w:rsidRDefault="003F1540">
            <w:pPr>
              <w:keepNext/>
            </w:pPr>
          </w:p>
        </w:tc>
      </w:tr>
      <w:tr w:rsidR="003F1540" w:rsidRPr="00E632E2" w14:paraId="5D1B6E95" w14:textId="77777777" w:rsidTr="003F1540">
        <w:trPr>
          <w:jc w:val="center"/>
        </w:trPr>
        <w:tc>
          <w:tcPr>
            <w:tcW w:w="4876" w:type="dxa"/>
            <w:hideMark/>
          </w:tcPr>
          <w:p w14:paraId="7FF5E7B8" w14:textId="77777777" w:rsidR="003F1540" w:rsidRPr="00E632E2" w:rsidRDefault="003F1540">
            <w:pPr>
              <w:pStyle w:val="ColumnHeading"/>
              <w:keepNext/>
            </w:pPr>
            <w:r w:rsidRPr="00E632E2">
              <w:t>Text proposed by the Commission</w:t>
            </w:r>
          </w:p>
        </w:tc>
        <w:tc>
          <w:tcPr>
            <w:tcW w:w="4876" w:type="dxa"/>
            <w:hideMark/>
          </w:tcPr>
          <w:p w14:paraId="17C78A90" w14:textId="77777777" w:rsidR="003F1540" w:rsidRPr="00E632E2" w:rsidRDefault="003F1540">
            <w:pPr>
              <w:pStyle w:val="ColumnHeading"/>
              <w:keepNext/>
            </w:pPr>
            <w:r w:rsidRPr="00E632E2">
              <w:t>Amendment</w:t>
            </w:r>
          </w:p>
        </w:tc>
      </w:tr>
      <w:tr w:rsidR="003F1540" w:rsidRPr="00E632E2" w14:paraId="0EEE2987" w14:textId="77777777" w:rsidTr="003F1540">
        <w:trPr>
          <w:jc w:val="center"/>
        </w:trPr>
        <w:tc>
          <w:tcPr>
            <w:tcW w:w="4876" w:type="dxa"/>
            <w:hideMark/>
          </w:tcPr>
          <w:p w14:paraId="006E33C8" w14:textId="77777777" w:rsidR="003F1540" w:rsidRPr="00E632E2" w:rsidRDefault="003F1540">
            <w:pPr>
              <w:pStyle w:val="Normal6"/>
            </w:pPr>
            <w:r w:rsidRPr="00E632E2">
              <w:t>(15)</w:t>
            </w:r>
            <w:r w:rsidRPr="00E632E2">
              <w:tab/>
              <w:t xml:space="preserve">A variety of benchmark administrators claim that their benchmarks pursue environmental, social and governance (‘ESG’) objectives. The users of those benchmarks do however not always have the necessary information on the extent to which the methodology of those benchmark administrators takes into account those ESG objectives. The existing information is also often scattered and does not allow for effective comparison for investment purposes across borders. To enable market players to make well-informed choices, benchmark administrators should be required to disclose how their methodology takes into account the ESG factors for each benchmark or family of benchmarks </w:t>
            </w:r>
            <w:r w:rsidRPr="00E632E2">
              <w:rPr>
                <w:b/>
                <w:i/>
              </w:rPr>
              <w:t>that is promoted as pursuing ESG objectives</w:t>
            </w:r>
            <w:r w:rsidRPr="00E632E2">
              <w:t xml:space="preserve">. That information should also be disclosed in the benchmark statement. </w:t>
            </w:r>
            <w:r w:rsidRPr="00E632E2">
              <w:rPr>
                <w:b/>
                <w:i/>
              </w:rPr>
              <w:t>The administrators of benchmarks that do not promote or take into account the ESG objectives, should not be subject to this disclosure obligation.</w:t>
            </w:r>
          </w:p>
        </w:tc>
        <w:tc>
          <w:tcPr>
            <w:tcW w:w="4876" w:type="dxa"/>
            <w:hideMark/>
          </w:tcPr>
          <w:p w14:paraId="1EC5377B" w14:textId="03E96854" w:rsidR="003F1540" w:rsidRPr="00E632E2" w:rsidRDefault="003F1540" w:rsidP="00047DE3">
            <w:pPr>
              <w:pStyle w:val="Normal6"/>
              <w:rPr>
                <w:szCs w:val="24"/>
              </w:rPr>
            </w:pPr>
            <w:r w:rsidRPr="00E632E2">
              <w:t>(15)</w:t>
            </w:r>
            <w:r w:rsidRPr="00E632E2">
              <w:tab/>
              <w:t xml:space="preserve">A variety of benchmark administrators claim that their benchmarks pursue environmental, social and governance (‘ESG’) objectives. The users of those benchmarks do however not always have the necessary information on the extent to which the methodology of those benchmark administrators takes into account those ESG objectives. The existing information is also often scattered and does not allow for effective comparison for investment purposes across borders. </w:t>
            </w:r>
            <w:r w:rsidR="00047DE3" w:rsidRPr="00E632E2">
              <w:t>In odrder t</w:t>
            </w:r>
            <w:r w:rsidRPr="00E632E2">
              <w:t xml:space="preserve">o enable market players to make well-informed choices, </w:t>
            </w:r>
            <w:r w:rsidR="00827092" w:rsidRPr="00E632E2">
              <w:t xml:space="preserve">the power to adopt acts in accordance with Article 290 of the Treaty on the Functioning of the European Union should be delegated to the Commission in respect of </w:t>
            </w:r>
            <w:r w:rsidRPr="00E632E2">
              <w:rPr>
                <w:b/>
                <w:i/>
              </w:rPr>
              <w:t xml:space="preserve">a method to measure the social and governance impact of investments to be applied by benchmark providers by 2022. </w:t>
            </w:r>
            <w:r w:rsidR="00047DE3" w:rsidRPr="00E632E2">
              <w:rPr>
                <w:b/>
                <w:i/>
              </w:rPr>
              <w:t xml:space="preserve">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w:t>
            </w:r>
            <w:r w:rsidR="00047DE3" w:rsidRPr="00E632E2">
              <w:rPr>
                <w:b/>
                <w:i/>
              </w:rPr>
              <w:lastRenderedPageBreak/>
              <w:t>Commission expert groups dealing with the preparation of delegated acts</w:t>
            </w:r>
            <w:r w:rsidR="00F43ABE" w:rsidRPr="00E632E2">
              <w:rPr>
                <w:b/>
                <w:i/>
              </w:rPr>
              <w:t xml:space="preserve">. </w:t>
            </w:r>
            <w:r w:rsidRPr="00E632E2">
              <w:rPr>
                <w:b/>
                <w:i/>
              </w:rPr>
              <w:t>From that date on, all</w:t>
            </w:r>
            <w:r w:rsidRPr="00E632E2">
              <w:t xml:space="preserve"> benchmark administrators should be required to disclose how their methodology takes into account the ESG factors for each benchmark or family of benchmarks. That information should also be disclosed in the benchmark statement.</w:t>
            </w:r>
          </w:p>
        </w:tc>
      </w:tr>
    </w:tbl>
    <w:p w14:paraId="61BBD5BA" w14:textId="77777777" w:rsidR="003F1540" w:rsidRPr="00E632E2" w:rsidRDefault="003F1540" w:rsidP="003F1540">
      <w:pPr>
        <w:pStyle w:val="Olang"/>
        <w:rPr>
          <w:noProof w:val="0"/>
          <w:szCs w:val="24"/>
        </w:rPr>
      </w:pPr>
      <w:r w:rsidRPr="00E632E2">
        <w:rPr>
          <w:noProof w:val="0"/>
          <w:szCs w:val="24"/>
        </w:rPr>
        <w:lastRenderedPageBreak/>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7E03332B" w14:textId="77777777" w:rsidR="003F1540" w:rsidRPr="00E632E2" w:rsidRDefault="003F1540" w:rsidP="003F1540">
      <w:pPr>
        <w:rPr>
          <w:szCs w:val="24"/>
        </w:rPr>
      </w:pPr>
      <w:r w:rsidRPr="00E632E2">
        <w:rPr>
          <w:rStyle w:val="HideTWBExt"/>
          <w:noProof w:val="0"/>
        </w:rPr>
        <w:t>&lt;/Amend&gt;</w:t>
      </w:r>
    </w:p>
    <w:p w14:paraId="5BCF0509" w14:textId="2C54057B"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8</w:t>
      </w:r>
      <w:r w:rsidRPr="00E632E2">
        <w:rPr>
          <w:rStyle w:val="HideTWBExt"/>
          <w:b w:val="0"/>
          <w:noProof w:val="0"/>
        </w:rPr>
        <w:t>&lt;/NumAm&gt;</w:t>
      </w:r>
    </w:p>
    <w:p w14:paraId="30011365"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3451DD76" w14:textId="77777777" w:rsidR="003F1540" w:rsidRPr="00E632E2" w:rsidRDefault="003F1540" w:rsidP="003F1540">
      <w:pPr>
        <w:pStyle w:val="NormalBold"/>
      </w:pPr>
      <w:r w:rsidRPr="00E632E2">
        <w:rPr>
          <w:rStyle w:val="HideTWBExt"/>
          <w:b w:val="0"/>
          <w:noProof w:val="0"/>
        </w:rPr>
        <w:t>&lt;Article&gt;</w:t>
      </w:r>
      <w:r w:rsidRPr="00E632E2">
        <w:t>Recital 16</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654C1982" w14:textId="77777777" w:rsidTr="003F1540">
        <w:trPr>
          <w:jc w:val="center"/>
        </w:trPr>
        <w:tc>
          <w:tcPr>
            <w:tcW w:w="9752" w:type="dxa"/>
            <w:gridSpan w:val="2"/>
          </w:tcPr>
          <w:p w14:paraId="43A9D48E" w14:textId="77777777" w:rsidR="003F1540" w:rsidRPr="00E632E2" w:rsidRDefault="003F1540">
            <w:pPr>
              <w:keepNext/>
            </w:pPr>
          </w:p>
        </w:tc>
      </w:tr>
      <w:tr w:rsidR="003F1540" w:rsidRPr="00E632E2" w14:paraId="36584E7D" w14:textId="77777777" w:rsidTr="003F1540">
        <w:trPr>
          <w:jc w:val="center"/>
        </w:trPr>
        <w:tc>
          <w:tcPr>
            <w:tcW w:w="4876" w:type="dxa"/>
            <w:hideMark/>
          </w:tcPr>
          <w:p w14:paraId="337B8CD5" w14:textId="77777777" w:rsidR="003F1540" w:rsidRPr="00E632E2" w:rsidRDefault="003F1540">
            <w:pPr>
              <w:pStyle w:val="ColumnHeading"/>
              <w:keepNext/>
            </w:pPr>
            <w:r w:rsidRPr="00E632E2">
              <w:t>Text proposed by the Commission</w:t>
            </w:r>
          </w:p>
        </w:tc>
        <w:tc>
          <w:tcPr>
            <w:tcW w:w="4876" w:type="dxa"/>
            <w:hideMark/>
          </w:tcPr>
          <w:p w14:paraId="25D6A3D8" w14:textId="77777777" w:rsidR="003F1540" w:rsidRPr="00E632E2" w:rsidRDefault="003F1540">
            <w:pPr>
              <w:pStyle w:val="ColumnHeading"/>
              <w:keepNext/>
            </w:pPr>
            <w:r w:rsidRPr="00E632E2">
              <w:t>Amendment</w:t>
            </w:r>
          </w:p>
        </w:tc>
      </w:tr>
      <w:tr w:rsidR="003F1540" w:rsidRPr="00E632E2" w14:paraId="4A68E768" w14:textId="77777777" w:rsidTr="003F1540">
        <w:trPr>
          <w:jc w:val="center"/>
        </w:trPr>
        <w:tc>
          <w:tcPr>
            <w:tcW w:w="4876" w:type="dxa"/>
            <w:hideMark/>
          </w:tcPr>
          <w:p w14:paraId="74C7F403" w14:textId="77777777" w:rsidR="003F1540" w:rsidRPr="00E632E2" w:rsidRDefault="003F1540">
            <w:pPr>
              <w:pStyle w:val="Normal6"/>
            </w:pPr>
            <w:r w:rsidRPr="00E632E2">
              <w:t>(16)</w:t>
            </w:r>
            <w:r w:rsidRPr="00E632E2">
              <w:tab/>
              <w:t xml:space="preserve">For the same reasons, administrators </w:t>
            </w:r>
            <w:r w:rsidRPr="00E632E2">
              <w:rPr>
                <w:b/>
                <w:i/>
              </w:rPr>
              <w:t>of low-carbon and of positive carbon impact benchmarks</w:t>
            </w:r>
            <w:r w:rsidRPr="00E632E2">
              <w:t xml:space="preserve"> should equally publish their methodology used for </w:t>
            </w:r>
            <w:r w:rsidRPr="00E632E2">
              <w:rPr>
                <w:b/>
                <w:i/>
              </w:rPr>
              <w:t>their</w:t>
            </w:r>
            <w:r w:rsidRPr="00E632E2">
              <w:t xml:space="preserve"> calculation. That information should describe how the underlying assets were selected and weighted and which assets were excluded and for what reason. The benchmark administrators should also specify how the low carbon benchmarks differ from the underlying parent index, notably in terms of the applicable weights, market capitalisation and financial performance of the underlying assets. To assess how the benchmark </w:t>
            </w:r>
            <w:r w:rsidRPr="00E632E2">
              <w:rPr>
                <w:b/>
                <w:i/>
              </w:rPr>
              <w:t>contributes</w:t>
            </w:r>
            <w:r w:rsidRPr="00E632E2">
              <w:t xml:space="preserve"> to the </w:t>
            </w:r>
            <w:r w:rsidRPr="00E632E2">
              <w:rPr>
                <w:b/>
                <w:i/>
              </w:rPr>
              <w:t>environmental objectives</w:t>
            </w:r>
            <w:r w:rsidRPr="00E632E2">
              <w:t xml:space="preserve">, the benchmark administrator should disclose how the carbon footprint and carbon savings of the underlying assets were measured, their respective values, including the total carbon footprint of the benchmark, and the type and source of the data used. To enable asset managers to choose the most appropriate benchmark for their investment strategy, benchmark administrators should explain the rationale behind the parameters of their methodology and explain how the </w:t>
            </w:r>
            <w:r w:rsidRPr="00E632E2">
              <w:lastRenderedPageBreak/>
              <w:t xml:space="preserve">benchmark </w:t>
            </w:r>
            <w:r w:rsidRPr="00E632E2">
              <w:rPr>
                <w:b/>
                <w:i/>
              </w:rPr>
              <w:t>contributes</w:t>
            </w:r>
            <w:r w:rsidRPr="00E632E2">
              <w:t xml:space="preserve"> to the </w:t>
            </w:r>
            <w:r w:rsidRPr="00E632E2">
              <w:rPr>
                <w:b/>
                <w:i/>
              </w:rPr>
              <w:t>environmental objectives, including its impact on climate-change mitigation</w:t>
            </w:r>
            <w:r w:rsidRPr="00E632E2">
              <w:t>. The published information should also include details on the frequency of reviews and the procedure followed.</w:t>
            </w:r>
          </w:p>
        </w:tc>
        <w:tc>
          <w:tcPr>
            <w:tcW w:w="4876" w:type="dxa"/>
            <w:hideMark/>
          </w:tcPr>
          <w:p w14:paraId="35E918CB" w14:textId="6007B271" w:rsidR="003F1540" w:rsidRPr="00E632E2" w:rsidRDefault="003F1540" w:rsidP="00F43ABE">
            <w:pPr>
              <w:pStyle w:val="Normal6"/>
              <w:rPr>
                <w:szCs w:val="24"/>
              </w:rPr>
            </w:pPr>
            <w:r w:rsidRPr="00E632E2">
              <w:lastRenderedPageBreak/>
              <w:t>(16)</w:t>
            </w:r>
            <w:r w:rsidRPr="00E632E2">
              <w:tab/>
              <w:t xml:space="preserve">For the same reasons, administrators should equally publish their methodology used for </w:t>
            </w:r>
            <w:r w:rsidRPr="00E632E2">
              <w:rPr>
                <w:b/>
                <w:i/>
              </w:rPr>
              <w:t>the</w:t>
            </w:r>
            <w:r w:rsidRPr="00E632E2">
              <w:t xml:space="preserve"> calculation </w:t>
            </w:r>
            <w:r w:rsidRPr="00E632E2">
              <w:rPr>
                <w:b/>
                <w:i/>
              </w:rPr>
              <w:t xml:space="preserve">of the low-carbon and of the positive carbon impact of their </w:t>
            </w:r>
            <w:r w:rsidR="00C45061" w:rsidRPr="00E632E2">
              <w:rPr>
                <w:b/>
                <w:i/>
              </w:rPr>
              <w:t>benchmarks</w:t>
            </w:r>
            <w:r w:rsidR="00C45061" w:rsidRPr="00E632E2">
              <w:t xml:space="preserve">. </w:t>
            </w:r>
            <w:r w:rsidRPr="00E632E2">
              <w:t xml:space="preserve">That information should describe how the underlying assets were selected and weighted and which assets were excluded and for what reason. The benchmark administrators should also specify how the low carbon benchmarks differ from the underlying parent index, notably in terms of the applicable weights, market capitalisation and financial performance of the underlying assets. To assess how the benchmark </w:t>
            </w:r>
            <w:r w:rsidRPr="00E632E2">
              <w:rPr>
                <w:b/>
                <w:i/>
              </w:rPr>
              <w:t>is aligned</w:t>
            </w:r>
            <w:r w:rsidRPr="00E632E2">
              <w:t xml:space="preserve"> to the </w:t>
            </w:r>
            <w:r w:rsidRPr="00E632E2">
              <w:rPr>
                <w:b/>
                <w:i/>
              </w:rPr>
              <w:t xml:space="preserve">Paris </w:t>
            </w:r>
            <w:r w:rsidR="00827092" w:rsidRPr="00E632E2">
              <w:rPr>
                <w:b/>
                <w:i/>
              </w:rPr>
              <w:t xml:space="preserve">Climate </w:t>
            </w:r>
            <w:r w:rsidRPr="00E632E2">
              <w:rPr>
                <w:b/>
                <w:i/>
              </w:rPr>
              <w:t>Agreement commitments as implemented in U</w:t>
            </w:r>
            <w:r w:rsidR="00F43ABE" w:rsidRPr="00E632E2">
              <w:rPr>
                <w:b/>
                <w:i/>
              </w:rPr>
              <w:t>nion</w:t>
            </w:r>
            <w:r w:rsidRPr="00E632E2">
              <w:rPr>
                <w:b/>
                <w:i/>
              </w:rPr>
              <w:t xml:space="preserve"> l</w:t>
            </w:r>
            <w:r w:rsidR="00F43ABE" w:rsidRPr="00E632E2">
              <w:rPr>
                <w:b/>
                <w:i/>
              </w:rPr>
              <w:t>aw</w:t>
            </w:r>
            <w:r w:rsidRPr="00E632E2">
              <w:t xml:space="preserve">, the benchmark administrator should disclose how the carbon footprint and carbon savings of the underlying assets were measured, their respective values, including the total carbon footprint of the benchmark, and the type and source of the data used. To enable asset managers to choose the most appropriate benchmark for their investment strategy, benchmark administrators should explain the rationale behind the parameters of their </w:t>
            </w:r>
            <w:r w:rsidRPr="00E632E2">
              <w:lastRenderedPageBreak/>
              <w:t xml:space="preserve">methodology and explain how the benchmark </w:t>
            </w:r>
            <w:r w:rsidRPr="00E632E2">
              <w:rPr>
                <w:b/>
                <w:i/>
              </w:rPr>
              <w:t>is aligned</w:t>
            </w:r>
            <w:r w:rsidRPr="00E632E2">
              <w:t xml:space="preserve"> to the </w:t>
            </w:r>
            <w:r w:rsidRPr="00E632E2">
              <w:rPr>
                <w:b/>
                <w:i/>
              </w:rPr>
              <w:t xml:space="preserve">Paris </w:t>
            </w:r>
            <w:r w:rsidR="00827092" w:rsidRPr="00E632E2">
              <w:rPr>
                <w:b/>
                <w:i/>
              </w:rPr>
              <w:t xml:space="preserve">Climate </w:t>
            </w:r>
            <w:r w:rsidRPr="00E632E2">
              <w:rPr>
                <w:b/>
                <w:i/>
              </w:rPr>
              <w:t>Agreement c</w:t>
            </w:r>
            <w:r w:rsidR="00C45061" w:rsidRPr="00E632E2">
              <w:rPr>
                <w:b/>
                <w:i/>
              </w:rPr>
              <w:t>ommitments as implemented in U</w:t>
            </w:r>
            <w:r w:rsidR="00F43ABE" w:rsidRPr="00E632E2">
              <w:rPr>
                <w:b/>
                <w:i/>
              </w:rPr>
              <w:t>nion</w:t>
            </w:r>
            <w:r w:rsidRPr="00E632E2">
              <w:rPr>
                <w:b/>
                <w:i/>
              </w:rPr>
              <w:t xml:space="preserve"> l</w:t>
            </w:r>
            <w:r w:rsidR="00F43ABE" w:rsidRPr="00E632E2">
              <w:rPr>
                <w:b/>
                <w:i/>
              </w:rPr>
              <w:t>aw</w:t>
            </w:r>
            <w:r w:rsidRPr="00E632E2">
              <w:t>. The published information should also include details on the frequency of reviews and the procedure followed.</w:t>
            </w:r>
          </w:p>
        </w:tc>
      </w:tr>
    </w:tbl>
    <w:p w14:paraId="35825B72" w14:textId="77777777" w:rsidR="003F1540" w:rsidRPr="00E632E2" w:rsidRDefault="003F1540" w:rsidP="003F1540">
      <w:pPr>
        <w:pStyle w:val="Olang"/>
        <w:rPr>
          <w:noProof w:val="0"/>
          <w:szCs w:val="24"/>
        </w:rPr>
      </w:pPr>
      <w:r w:rsidRPr="00E632E2">
        <w:rPr>
          <w:noProof w:val="0"/>
          <w:szCs w:val="24"/>
        </w:rPr>
        <w:lastRenderedPageBreak/>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64FAF602" w14:textId="77777777" w:rsidR="003F1540" w:rsidRPr="00E632E2" w:rsidRDefault="003F1540" w:rsidP="003F1540">
      <w:pPr>
        <w:rPr>
          <w:szCs w:val="24"/>
        </w:rPr>
      </w:pPr>
      <w:r w:rsidRPr="00E632E2">
        <w:rPr>
          <w:rStyle w:val="HideTWBExt"/>
          <w:noProof w:val="0"/>
        </w:rPr>
        <w:t>&lt;/Amend&gt;</w:t>
      </w:r>
    </w:p>
    <w:p w14:paraId="0ABCA384" w14:textId="22557FC8"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9</w:t>
      </w:r>
      <w:r w:rsidRPr="00E632E2">
        <w:rPr>
          <w:rStyle w:val="HideTWBExt"/>
          <w:b w:val="0"/>
          <w:noProof w:val="0"/>
        </w:rPr>
        <w:t>&lt;/NumAm&gt;</w:t>
      </w:r>
    </w:p>
    <w:p w14:paraId="01D9AAF1"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167F8491" w14:textId="77777777" w:rsidR="003F1540" w:rsidRPr="00E632E2" w:rsidRDefault="003F1540" w:rsidP="003F1540">
      <w:pPr>
        <w:pStyle w:val="NormalBold"/>
      </w:pPr>
      <w:r w:rsidRPr="00E632E2">
        <w:rPr>
          <w:rStyle w:val="HideTWBExt"/>
          <w:b w:val="0"/>
          <w:noProof w:val="0"/>
        </w:rPr>
        <w:t>&lt;Article&gt;</w:t>
      </w:r>
      <w:r w:rsidRPr="00E632E2">
        <w:t>Recital 17</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61AE6A79" w14:textId="77777777" w:rsidTr="003F1540">
        <w:trPr>
          <w:jc w:val="center"/>
        </w:trPr>
        <w:tc>
          <w:tcPr>
            <w:tcW w:w="9752" w:type="dxa"/>
            <w:gridSpan w:val="2"/>
          </w:tcPr>
          <w:p w14:paraId="350D7E2E" w14:textId="77777777" w:rsidR="003F1540" w:rsidRPr="00E632E2" w:rsidRDefault="003F1540">
            <w:pPr>
              <w:keepNext/>
            </w:pPr>
          </w:p>
        </w:tc>
      </w:tr>
      <w:tr w:rsidR="003F1540" w:rsidRPr="00E632E2" w14:paraId="769DF3DD" w14:textId="77777777" w:rsidTr="003F1540">
        <w:trPr>
          <w:jc w:val="center"/>
        </w:trPr>
        <w:tc>
          <w:tcPr>
            <w:tcW w:w="4876" w:type="dxa"/>
            <w:hideMark/>
          </w:tcPr>
          <w:p w14:paraId="7B3793E6" w14:textId="77777777" w:rsidR="003F1540" w:rsidRPr="00E632E2" w:rsidRDefault="003F1540">
            <w:pPr>
              <w:pStyle w:val="ColumnHeading"/>
              <w:keepNext/>
            </w:pPr>
            <w:r w:rsidRPr="00E632E2">
              <w:t>Text proposed by the Commission</w:t>
            </w:r>
          </w:p>
        </w:tc>
        <w:tc>
          <w:tcPr>
            <w:tcW w:w="4876" w:type="dxa"/>
            <w:hideMark/>
          </w:tcPr>
          <w:p w14:paraId="1E31C6A2" w14:textId="77777777" w:rsidR="003F1540" w:rsidRPr="00E632E2" w:rsidRDefault="003F1540">
            <w:pPr>
              <w:pStyle w:val="ColumnHeading"/>
              <w:keepNext/>
            </w:pPr>
            <w:r w:rsidRPr="00E632E2">
              <w:t>Amendment</w:t>
            </w:r>
          </w:p>
        </w:tc>
      </w:tr>
      <w:tr w:rsidR="003F1540" w:rsidRPr="00E632E2" w14:paraId="6DE8A477" w14:textId="77777777" w:rsidTr="003F1540">
        <w:trPr>
          <w:jc w:val="center"/>
        </w:trPr>
        <w:tc>
          <w:tcPr>
            <w:tcW w:w="4876" w:type="dxa"/>
            <w:hideMark/>
          </w:tcPr>
          <w:p w14:paraId="24A15C46" w14:textId="77777777" w:rsidR="003F1540" w:rsidRPr="00E632E2" w:rsidRDefault="003F1540">
            <w:pPr>
              <w:pStyle w:val="Normal6"/>
            </w:pPr>
            <w:r w:rsidRPr="00E632E2">
              <w:t>(17)</w:t>
            </w:r>
            <w:r w:rsidRPr="00E632E2">
              <w:tab/>
              <w:t>In addition, administrator of positive carbon impact benchmarks should disclose the positive carbon impact of each underlying asset included in those benchmarks, specifying the method used to determine whether the emission savings exceed the investment asset's carbon footprint.</w:t>
            </w:r>
          </w:p>
        </w:tc>
        <w:tc>
          <w:tcPr>
            <w:tcW w:w="4876" w:type="dxa"/>
            <w:hideMark/>
          </w:tcPr>
          <w:p w14:paraId="5D5DADFD" w14:textId="5A6835A7" w:rsidR="003F1540" w:rsidRPr="00E632E2" w:rsidRDefault="003F1540">
            <w:pPr>
              <w:pStyle w:val="Normal6"/>
              <w:rPr>
                <w:szCs w:val="24"/>
              </w:rPr>
            </w:pPr>
            <w:r w:rsidRPr="00E632E2">
              <w:t>(17)</w:t>
            </w:r>
            <w:r w:rsidRPr="00E632E2">
              <w:tab/>
              <w:t>In addition, administrator</w:t>
            </w:r>
            <w:r w:rsidR="00F43ABE" w:rsidRPr="00E632E2">
              <w:rPr>
                <w:b/>
                <w:i/>
              </w:rPr>
              <w:t>s</w:t>
            </w:r>
            <w:r w:rsidRPr="00E632E2">
              <w:t xml:space="preserve"> of positive carbon impact benchmarks should disclose the positive carbon impact of each underlying asset included in those benchmarks, specifying the method used to determine whether the emission savings exceed the investment asset's carbon footprint</w:t>
            </w:r>
            <w:r w:rsidRPr="00E632E2">
              <w:rPr>
                <w:b/>
                <w:i/>
              </w:rPr>
              <w:t xml:space="preserve"> and indicate the extent to which greenhouse gas emissions such as Scope 1,2 and 3 or other greenhouse gases </w:t>
            </w:r>
            <w:r w:rsidR="00F43ABE" w:rsidRPr="00E632E2">
              <w:rPr>
                <w:b/>
                <w:i/>
              </w:rPr>
              <w:t xml:space="preserve">such </w:t>
            </w:r>
            <w:r w:rsidRPr="00E632E2">
              <w:rPr>
                <w:b/>
                <w:i/>
              </w:rPr>
              <w:t>as methane have been taken into account</w:t>
            </w:r>
            <w:r w:rsidRPr="00E632E2">
              <w:t>.</w:t>
            </w:r>
          </w:p>
        </w:tc>
      </w:tr>
    </w:tbl>
    <w:p w14:paraId="10FA561B"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6EC5FA6F" w14:textId="77777777" w:rsidR="003F1540" w:rsidRPr="00E632E2" w:rsidRDefault="003F1540" w:rsidP="003F1540">
      <w:pPr>
        <w:rPr>
          <w:szCs w:val="24"/>
        </w:rPr>
      </w:pPr>
      <w:r w:rsidRPr="00E632E2">
        <w:rPr>
          <w:rStyle w:val="HideTWBExt"/>
          <w:noProof w:val="0"/>
        </w:rPr>
        <w:t>&lt;/Amend&gt;</w:t>
      </w:r>
    </w:p>
    <w:p w14:paraId="3C25701B" w14:textId="4513D042"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10</w:t>
      </w:r>
      <w:r w:rsidRPr="00E632E2">
        <w:rPr>
          <w:rStyle w:val="HideTWBExt"/>
          <w:b w:val="0"/>
          <w:noProof w:val="0"/>
        </w:rPr>
        <w:t>&lt;/NumAm&gt;</w:t>
      </w:r>
    </w:p>
    <w:p w14:paraId="034A9859"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5FC34E52" w14:textId="77777777" w:rsidR="003F1540" w:rsidRPr="00E632E2" w:rsidRDefault="003F1540" w:rsidP="003F1540">
      <w:pPr>
        <w:pStyle w:val="NormalBold"/>
      </w:pPr>
      <w:r w:rsidRPr="00E632E2">
        <w:rPr>
          <w:rStyle w:val="HideTWBExt"/>
          <w:b w:val="0"/>
          <w:noProof w:val="0"/>
        </w:rPr>
        <w:t>&lt;Article&gt;</w:t>
      </w:r>
      <w:r w:rsidRPr="00E632E2">
        <w:t>Recital 19</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42193625" w14:textId="77777777" w:rsidTr="003F1540">
        <w:trPr>
          <w:jc w:val="center"/>
        </w:trPr>
        <w:tc>
          <w:tcPr>
            <w:tcW w:w="9752" w:type="dxa"/>
            <w:gridSpan w:val="2"/>
          </w:tcPr>
          <w:p w14:paraId="62A07E46" w14:textId="77777777" w:rsidR="003F1540" w:rsidRPr="00E632E2" w:rsidRDefault="003F1540">
            <w:pPr>
              <w:keepNext/>
            </w:pPr>
          </w:p>
        </w:tc>
      </w:tr>
      <w:tr w:rsidR="003F1540" w:rsidRPr="00E632E2" w14:paraId="625FB944" w14:textId="77777777" w:rsidTr="003F1540">
        <w:trPr>
          <w:jc w:val="center"/>
        </w:trPr>
        <w:tc>
          <w:tcPr>
            <w:tcW w:w="4876" w:type="dxa"/>
            <w:hideMark/>
          </w:tcPr>
          <w:p w14:paraId="5C3F06CD" w14:textId="77777777" w:rsidR="003F1540" w:rsidRPr="00E632E2" w:rsidRDefault="003F1540">
            <w:pPr>
              <w:pStyle w:val="ColumnHeading"/>
              <w:keepNext/>
            </w:pPr>
            <w:r w:rsidRPr="00E632E2">
              <w:t>Text proposed by the Commission</w:t>
            </w:r>
          </w:p>
        </w:tc>
        <w:tc>
          <w:tcPr>
            <w:tcW w:w="4876" w:type="dxa"/>
            <w:hideMark/>
          </w:tcPr>
          <w:p w14:paraId="78F4CCBF" w14:textId="77777777" w:rsidR="003F1540" w:rsidRPr="00E632E2" w:rsidRDefault="003F1540">
            <w:pPr>
              <w:pStyle w:val="ColumnHeading"/>
              <w:keepNext/>
            </w:pPr>
            <w:r w:rsidRPr="00E632E2">
              <w:t>Amendment</w:t>
            </w:r>
          </w:p>
        </w:tc>
      </w:tr>
      <w:tr w:rsidR="003F1540" w:rsidRPr="00E632E2" w14:paraId="57D12743" w14:textId="77777777" w:rsidTr="003F1540">
        <w:trPr>
          <w:jc w:val="center"/>
        </w:trPr>
        <w:tc>
          <w:tcPr>
            <w:tcW w:w="4876" w:type="dxa"/>
            <w:hideMark/>
          </w:tcPr>
          <w:p w14:paraId="0D53458A" w14:textId="77777777" w:rsidR="003F1540" w:rsidRPr="00E632E2" w:rsidRDefault="003F1540">
            <w:pPr>
              <w:pStyle w:val="Normal6"/>
            </w:pPr>
            <w:r w:rsidRPr="00E632E2">
              <w:t>(19)</w:t>
            </w:r>
            <w:r w:rsidRPr="00E632E2">
              <w:tab/>
              <w:t xml:space="preserve">In order to enhance transparency and ensure an adequate level of harmonization, the power to adopt acts in accordance with Article 290 of the Treaty on the Functioning of the European Union should be delegated to the Commission to specify further the minimum content of the </w:t>
            </w:r>
            <w:r w:rsidRPr="00E632E2">
              <w:lastRenderedPageBreak/>
              <w:t xml:space="preserve">disclosure obligations that benchmark administrators </w:t>
            </w:r>
            <w:r w:rsidRPr="00E632E2">
              <w:rPr>
                <w:b/>
                <w:i/>
              </w:rPr>
              <w:t>that take into account the ESG objectives</w:t>
            </w:r>
            <w:r w:rsidRPr="00E632E2">
              <w:t xml:space="preserve"> should be subject to, and to specify the minimum standards for harmonization of the methodology of low-carbon and positive carbon impact benchmarks, including the method for the calculation of carbon emissions and carbon savings associated with the underlying assets, taking into account the Product and Organisation Environmental Footprint methods as defined in points (a) and (b) of point 2 of Commission Recommendation 2013/179/EU</w:t>
            </w:r>
            <w:r w:rsidRPr="00E632E2">
              <w:rPr>
                <w:vertAlign w:val="superscript"/>
              </w:rPr>
              <w:t>31</w:t>
            </w:r>
            <w:r w:rsidRPr="00E632E2">
              <w:t xml:space="preserve"> . It is of particular importance that the Commission carry out appropriate consultations during its preparatory work, including at expert level, and that those consultations be conducted in accordance with the principles laid down in the Interinstitutional Agreement on Better Law-Making </w:t>
            </w:r>
            <w:r w:rsidRPr="00E632E2">
              <w:rPr>
                <w:b/>
                <w:i/>
              </w:rPr>
              <w:t>of 13 April 2016</w:t>
            </w:r>
            <w:r w:rsidRPr="00E632E2">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tc>
        <w:tc>
          <w:tcPr>
            <w:tcW w:w="4876" w:type="dxa"/>
            <w:hideMark/>
          </w:tcPr>
          <w:p w14:paraId="4E9F7ED2" w14:textId="5CCC7CED" w:rsidR="003F1540" w:rsidRPr="00E632E2" w:rsidRDefault="003F1540" w:rsidP="00F43ABE">
            <w:pPr>
              <w:pStyle w:val="Normal6"/>
              <w:rPr>
                <w:szCs w:val="24"/>
              </w:rPr>
            </w:pPr>
            <w:r w:rsidRPr="00E632E2">
              <w:lastRenderedPageBreak/>
              <w:t>(19)</w:t>
            </w:r>
            <w:r w:rsidRPr="00E632E2">
              <w:tab/>
              <w:t xml:space="preserve">In order to enhance transparency and ensure an adequate level of harmonization, the power to adopt acts in accordance with Article 290 of the Treaty on the Functioning of the European Union should be delegated to the Commission to specify further the minimum content of the </w:t>
            </w:r>
            <w:r w:rsidRPr="00E632E2">
              <w:lastRenderedPageBreak/>
              <w:t xml:space="preserve">disclosure obligations </w:t>
            </w:r>
            <w:r w:rsidRPr="00E632E2">
              <w:rPr>
                <w:b/>
                <w:i/>
              </w:rPr>
              <w:t>concerning the ESG objectives</w:t>
            </w:r>
            <w:r w:rsidRPr="00E632E2">
              <w:t xml:space="preserve"> that benchmark administrators should be subject to, and to specify the minimum standards for harmonization of the methodology of low-carbon and positive carbon impact benchmarks, including the </w:t>
            </w:r>
            <w:r w:rsidRPr="00E632E2">
              <w:rPr>
                <w:b/>
                <w:i/>
              </w:rPr>
              <w:t>standardised</w:t>
            </w:r>
            <w:r w:rsidRPr="00E632E2">
              <w:t xml:space="preserve"> method for the calculation of </w:t>
            </w:r>
            <w:r w:rsidRPr="00E632E2">
              <w:rPr>
                <w:b/>
                <w:i/>
              </w:rPr>
              <w:t>the</w:t>
            </w:r>
            <w:r w:rsidRPr="00E632E2">
              <w:t xml:space="preserve"> carbon emissions and carbon savings associated with the underlying assets, taking into account the Product and Organisation Environmental Footprint methods as defined in points (a) and (b) of point 2 of Commission Recommendation 2013/179/EU</w:t>
            </w:r>
            <w:r w:rsidRPr="00E632E2">
              <w:rPr>
                <w:vertAlign w:val="superscript"/>
              </w:rPr>
              <w:t>31</w:t>
            </w:r>
            <w:r w:rsidRPr="00E632E2">
              <w:t xml:space="preserve"> . It is of particular importance that the Commission carry out appropriate consultations during its preparatory work, including at expert level, and that those consultations be conducted in accordance with the principles laid down in the Interinstitutional Agreement </w:t>
            </w:r>
            <w:r w:rsidR="00F43ABE" w:rsidRPr="00E632E2">
              <w:rPr>
                <w:b/>
                <w:i/>
              </w:rPr>
              <w:t xml:space="preserve">of 13 April 2016 </w:t>
            </w:r>
            <w:r w:rsidRPr="00E632E2">
              <w:t>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tc>
      </w:tr>
      <w:tr w:rsidR="003F1540" w:rsidRPr="00E632E2" w14:paraId="7186C533" w14:textId="77777777" w:rsidTr="003F1540">
        <w:trPr>
          <w:jc w:val="center"/>
        </w:trPr>
        <w:tc>
          <w:tcPr>
            <w:tcW w:w="4876" w:type="dxa"/>
            <w:hideMark/>
          </w:tcPr>
          <w:p w14:paraId="0DDC218A" w14:textId="77777777" w:rsidR="003F1540" w:rsidRPr="00E632E2" w:rsidRDefault="003F1540">
            <w:pPr>
              <w:pStyle w:val="Normal6"/>
            </w:pPr>
            <w:r w:rsidRPr="00E632E2">
              <w:lastRenderedPageBreak/>
              <w:t>__________________</w:t>
            </w:r>
          </w:p>
        </w:tc>
        <w:tc>
          <w:tcPr>
            <w:tcW w:w="4876" w:type="dxa"/>
            <w:hideMark/>
          </w:tcPr>
          <w:p w14:paraId="50FF69B2" w14:textId="77777777" w:rsidR="003F1540" w:rsidRPr="00E632E2" w:rsidRDefault="003F1540">
            <w:pPr>
              <w:pStyle w:val="Normal6"/>
              <w:rPr>
                <w:szCs w:val="24"/>
              </w:rPr>
            </w:pPr>
            <w:r w:rsidRPr="00E632E2">
              <w:t>__________________</w:t>
            </w:r>
          </w:p>
        </w:tc>
      </w:tr>
      <w:tr w:rsidR="003F1540" w:rsidRPr="00E632E2" w14:paraId="1660B28B" w14:textId="77777777" w:rsidTr="003F1540">
        <w:trPr>
          <w:jc w:val="center"/>
        </w:trPr>
        <w:tc>
          <w:tcPr>
            <w:tcW w:w="4876" w:type="dxa"/>
            <w:hideMark/>
          </w:tcPr>
          <w:p w14:paraId="5A48392D" w14:textId="77777777" w:rsidR="003F1540" w:rsidRPr="00E632E2" w:rsidRDefault="003F1540">
            <w:pPr>
              <w:pStyle w:val="Normal6"/>
            </w:pPr>
            <w:r w:rsidRPr="00E632E2">
              <w:rPr>
                <w:vertAlign w:val="superscript"/>
              </w:rPr>
              <w:t>31</w:t>
            </w:r>
            <w:r w:rsidRPr="00E632E2">
              <w:t xml:space="preserve"> Commission Recommendation 2013/179/EU of 9 April 2013 on the use of common methods to measure and communicate the life cycle environmental performance of products and organisations (OJ L 124, 4.5.2013, p. 1).</w:t>
            </w:r>
          </w:p>
        </w:tc>
        <w:tc>
          <w:tcPr>
            <w:tcW w:w="4876" w:type="dxa"/>
            <w:hideMark/>
          </w:tcPr>
          <w:p w14:paraId="1FC652BC" w14:textId="77777777" w:rsidR="003F1540" w:rsidRPr="00E632E2" w:rsidRDefault="003F1540">
            <w:pPr>
              <w:pStyle w:val="Normal6"/>
              <w:rPr>
                <w:szCs w:val="24"/>
              </w:rPr>
            </w:pPr>
            <w:r w:rsidRPr="00E632E2">
              <w:rPr>
                <w:vertAlign w:val="superscript"/>
              </w:rPr>
              <w:t>31</w:t>
            </w:r>
            <w:r w:rsidRPr="00E632E2">
              <w:t xml:space="preserve"> Commission Recommendation 2013/179/EU of 9 April 2013 on the use of common methods to measure and communicate the life cycle environmental performance of products and organisations (OJ L 124, 4.5.2013, p. 1).</w:t>
            </w:r>
          </w:p>
        </w:tc>
      </w:tr>
    </w:tbl>
    <w:p w14:paraId="16AE3379"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33F96C8B" w14:textId="77777777" w:rsidR="003F1540" w:rsidRPr="00E632E2" w:rsidRDefault="003F1540" w:rsidP="003F1540">
      <w:pPr>
        <w:rPr>
          <w:szCs w:val="24"/>
        </w:rPr>
      </w:pPr>
      <w:r w:rsidRPr="00E632E2">
        <w:rPr>
          <w:rStyle w:val="HideTWBExt"/>
          <w:noProof w:val="0"/>
        </w:rPr>
        <w:t>&lt;/Amend&gt;</w:t>
      </w:r>
    </w:p>
    <w:p w14:paraId="02C5E432" w14:textId="2BE18A4F"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11</w:t>
      </w:r>
      <w:r w:rsidRPr="00E632E2">
        <w:rPr>
          <w:rStyle w:val="HideTWBExt"/>
          <w:b w:val="0"/>
          <w:noProof w:val="0"/>
        </w:rPr>
        <w:t>&lt;/NumAm&gt;</w:t>
      </w:r>
    </w:p>
    <w:p w14:paraId="7CD00184"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52D71D5D" w14:textId="77777777" w:rsidR="003F1540" w:rsidRPr="00E632E2" w:rsidRDefault="003F1540" w:rsidP="003F1540">
      <w:pPr>
        <w:pStyle w:val="NormalBold"/>
      </w:pPr>
      <w:r w:rsidRPr="00E632E2">
        <w:rPr>
          <w:rStyle w:val="HideTWBExt"/>
          <w:b w:val="0"/>
          <w:noProof w:val="0"/>
        </w:rPr>
        <w:t>&lt;Article&gt;</w:t>
      </w:r>
      <w:r w:rsidRPr="00E632E2">
        <w:t>Article 1 – paragraph 1 – point 1</w:t>
      </w:r>
      <w:r w:rsidRPr="00E632E2">
        <w:rPr>
          <w:rStyle w:val="HideTWBExt"/>
          <w:b w:val="0"/>
          <w:noProof w:val="0"/>
        </w:rPr>
        <w:t>&lt;/Article&gt;</w:t>
      </w:r>
    </w:p>
    <w:p w14:paraId="218E65A8" w14:textId="77777777" w:rsidR="003F1540" w:rsidRPr="00E632E2" w:rsidRDefault="003F1540" w:rsidP="003F1540">
      <w:pPr>
        <w:keepNext/>
      </w:pPr>
      <w:r w:rsidRPr="00E632E2">
        <w:rPr>
          <w:rStyle w:val="HideTWBExt"/>
          <w:noProof w:val="0"/>
        </w:rPr>
        <w:lastRenderedPageBreak/>
        <w:t>&lt;DocAmend2&gt;</w:t>
      </w:r>
      <w:r w:rsidR="00C45061" w:rsidRPr="00E632E2">
        <w:t xml:space="preserve">Regulation </w:t>
      </w:r>
      <w:r w:rsidR="00E30BFE" w:rsidRPr="00E632E2">
        <w:t xml:space="preserve">(EU) </w:t>
      </w:r>
      <w:r w:rsidR="00C45061" w:rsidRPr="00E632E2">
        <w:t>2016/1011</w:t>
      </w:r>
      <w:r w:rsidRPr="00E632E2">
        <w:rPr>
          <w:rStyle w:val="HideTWBExt"/>
          <w:noProof w:val="0"/>
        </w:rPr>
        <w:t>&lt;/DocAmend2&gt;</w:t>
      </w:r>
    </w:p>
    <w:p w14:paraId="6EDEB4F2" w14:textId="77777777" w:rsidR="003F1540" w:rsidRPr="00E632E2" w:rsidRDefault="003F1540" w:rsidP="003F1540">
      <w:r w:rsidRPr="00E632E2">
        <w:rPr>
          <w:rStyle w:val="HideTWBExt"/>
          <w:noProof w:val="0"/>
        </w:rPr>
        <w:t>&lt;Article2&gt;</w:t>
      </w:r>
      <w:r w:rsidR="00C45061" w:rsidRPr="00E632E2">
        <w:t>Article 3 – paragraph 1 – point 23a</w:t>
      </w:r>
      <w:r w:rsidRPr="00E632E2">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0E196C4E" w14:textId="77777777" w:rsidTr="003F1540">
        <w:trPr>
          <w:jc w:val="center"/>
        </w:trPr>
        <w:tc>
          <w:tcPr>
            <w:tcW w:w="9752" w:type="dxa"/>
            <w:gridSpan w:val="2"/>
          </w:tcPr>
          <w:p w14:paraId="70D09CBA" w14:textId="77777777" w:rsidR="003F1540" w:rsidRPr="00E632E2" w:rsidRDefault="003F1540">
            <w:pPr>
              <w:keepNext/>
            </w:pPr>
          </w:p>
        </w:tc>
      </w:tr>
      <w:tr w:rsidR="003F1540" w:rsidRPr="00E632E2" w14:paraId="13247B33" w14:textId="77777777" w:rsidTr="003F1540">
        <w:trPr>
          <w:jc w:val="center"/>
        </w:trPr>
        <w:tc>
          <w:tcPr>
            <w:tcW w:w="4876" w:type="dxa"/>
            <w:hideMark/>
          </w:tcPr>
          <w:p w14:paraId="005CB2FF" w14:textId="77777777" w:rsidR="003F1540" w:rsidRPr="00E632E2" w:rsidRDefault="003F1540">
            <w:pPr>
              <w:pStyle w:val="ColumnHeading"/>
              <w:keepNext/>
            </w:pPr>
            <w:r w:rsidRPr="00E632E2">
              <w:t>Text proposed by the Commission</w:t>
            </w:r>
          </w:p>
        </w:tc>
        <w:tc>
          <w:tcPr>
            <w:tcW w:w="4876" w:type="dxa"/>
            <w:hideMark/>
          </w:tcPr>
          <w:p w14:paraId="7F4B9F20" w14:textId="77777777" w:rsidR="003F1540" w:rsidRPr="00E632E2" w:rsidRDefault="003F1540">
            <w:pPr>
              <w:pStyle w:val="ColumnHeading"/>
              <w:keepNext/>
            </w:pPr>
            <w:r w:rsidRPr="00E632E2">
              <w:t>Amendment</w:t>
            </w:r>
          </w:p>
        </w:tc>
      </w:tr>
      <w:tr w:rsidR="003F1540" w:rsidRPr="00E632E2" w14:paraId="31316584" w14:textId="77777777" w:rsidTr="003F1540">
        <w:trPr>
          <w:jc w:val="center"/>
        </w:trPr>
        <w:tc>
          <w:tcPr>
            <w:tcW w:w="4876" w:type="dxa"/>
            <w:hideMark/>
          </w:tcPr>
          <w:p w14:paraId="79971D07" w14:textId="77777777" w:rsidR="003F1540" w:rsidRPr="00E632E2" w:rsidRDefault="003F1540">
            <w:pPr>
              <w:pStyle w:val="Normal6"/>
            </w:pPr>
            <w:r w:rsidRPr="00E632E2">
              <w:t>(23a)</w:t>
            </w:r>
            <w:r w:rsidRPr="00E632E2">
              <w:tab/>
              <w:t xml:space="preserve">‘low-carbon benchmark’ means a benchmark where the underlying assets, for the purposes of point 1(b)(ii) of this paragraph, are selected so that the resulting benchmark portfolio </w:t>
            </w:r>
            <w:r w:rsidRPr="00E632E2">
              <w:rPr>
                <w:b/>
                <w:i/>
              </w:rPr>
              <w:t>has less carbon emissions</w:t>
            </w:r>
            <w:r w:rsidRPr="00E632E2">
              <w:t xml:space="preserve"> when compared to the assets that comprise a standard capital-weighted benchmark and which is constructed in accordance with the standards laid down in the delegated acts referred to in Article 19a(2)</w:t>
            </w:r>
            <w:r w:rsidR="00C45061" w:rsidRPr="00E632E2">
              <w:t>;</w:t>
            </w:r>
          </w:p>
        </w:tc>
        <w:tc>
          <w:tcPr>
            <w:tcW w:w="4876" w:type="dxa"/>
            <w:hideMark/>
          </w:tcPr>
          <w:p w14:paraId="35419D04" w14:textId="6DEF24E1" w:rsidR="003F1540" w:rsidRPr="00E632E2" w:rsidRDefault="003F1540" w:rsidP="00F43ABE">
            <w:pPr>
              <w:pStyle w:val="Normal6"/>
              <w:rPr>
                <w:szCs w:val="24"/>
              </w:rPr>
            </w:pPr>
            <w:r w:rsidRPr="00E632E2">
              <w:t>(23a)</w:t>
            </w:r>
            <w:r w:rsidRPr="00E632E2">
              <w:tab/>
              <w:t xml:space="preserve">'low-carbon benchmark’ means a benchmark where the underlying assets, for the purposes of point 1(b)(ii) of this paragraph, are selected so that the resulting benchmark portfolio </w:t>
            </w:r>
            <w:r w:rsidRPr="00E632E2">
              <w:rPr>
                <w:b/>
                <w:i/>
              </w:rPr>
              <w:t>is fully aligned with the de-carboni</w:t>
            </w:r>
            <w:r w:rsidR="00F43ABE" w:rsidRPr="00E632E2">
              <w:rPr>
                <w:b/>
                <w:i/>
              </w:rPr>
              <w:t>s</w:t>
            </w:r>
            <w:r w:rsidRPr="00E632E2">
              <w:rPr>
                <w:b/>
                <w:i/>
              </w:rPr>
              <w:t xml:space="preserve">ation pathway required to achieve the commitments of the Paris </w:t>
            </w:r>
            <w:r w:rsidR="00827092" w:rsidRPr="00E632E2">
              <w:rPr>
                <w:b/>
                <w:i/>
              </w:rPr>
              <w:t xml:space="preserve">Climate </w:t>
            </w:r>
            <w:r w:rsidRPr="00E632E2">
              <w:rPr>
                <w:b/>
                <w:i/>
              </w:rPr>
              <w:t>Agr</w:t>
            </w:r>
            <w:r w:rsidR="00C45061" w:rsidRPr="00E632E2">
              <w:rPr>
                <w:b/>
                <w:i/>
              </w:rPr>
              <w:t>eement as implemented in U</w:t>
            </w:r>
            <w:r w:rsidR="00F43ABE" w:rsidRPr="00E632E2">
              <w:rPr>
                <w:b/>
                <w:i/>
              </w:rPr>
              <w:t>nion</w:t>
            </w:r>
            <w:r w:rsidRPr="00E632E2">
              <w:rPr>
                <w:b/>
                <w:i/>
              </w:rPr>
              <w:t xml:space="preserve"> l</w:t>
            </w:r>
            <w:r w:rsidR="00F43ABE" w:rsidRPr="00E632E2">
              <w:rPr>
                <w:b/>
                <w:i/>
              </w:rPr>
              <w:t>aw</w:t>
            </w:r>
            <w:r w:rsidRPr="00E632E2">
              <w:t xml:space="preserve"> when compared to the assets that comprise a standard capital-weighted benchmark and which is constructed in accordance with the standards laid down in the delegated acts referred to in Article 19a(2)</w:t>
            </w:r>
            <w:r w:rsidR="00C45061" w:rsidRPr="00E632E2">
              <w:t>;</w:t>
            </w:r>
          </w:p>
        </w:tc>
      </w:tr>
    </w:tbl>
    <w:p w14:paraId="4F10423B"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3DC9C400" w14:textId="77777777" w:rsidR="003F1540" w:rsidRPr="00E632E2" w:rsidRDefault="003F1540" w:rsidP="003F1540">
      <w:pPr>
        <w:rPr>
          <w:szCs w:val="24"/>
        </w:rPr>
      </w:pPr>
      <w:r w:rsidRPr="00E632E2">
        <w:rPr>
          <w:rStyle w:val="HideTWBExt"/>
          <w:noProof w:val="0"/>
        </w:rPr>
        <w:t>&lt;/Amend&gt;</w:t>
      </w:r>
    </w:p>
    <w:p w14:paraId="0071036E" w14:textId="0A66CB0C"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12</w:t>
      </w:r>
      <w:r w:rsidRPr="00E632E2">
        <w:rPr>
          <w:rStyle w:val="HideTWBExt"/>
          <w:b w:val="0"/>
          <w:noProof w:val="0"/>
        </w:rPr>
        <w:t>&lt;/NumAm&gt;</w:t>
      </w:r>
    </w:p>
    <w:p w14:paraId="0A9D34C2"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4BFDA6E2" w14:textId="77777777" w:rsidR="003F1540" w:rsidRPr="00E632E2" w:rsidRDefault="003F1540" w:rsidP="003F1540">
      <w:pPr>
        <w:pStyle w:val="NormalBold"/>
      </w:pPr>
      <w:r w:rsidRPr="00E632E2">
        <w:rPr>
          <w:rStyle w:val="HideTWBExt"/>
          <w:b w:val="0"/>
          <w:noProof w:val="0"/>
        </w:rPr>
        <w:t>&lt;Article&gt;</w:t>
      </w:r>
      <w:r w:rsidRPr="00E632E2">
        <w:t>Article 1 – paragraph 1 – point 1</w:t>
      </w:r>
      <w:r w:rsidRPr="00E632E2">
        <w:rPr>
          <w:rStyle w:val="HideTWBExt"/>
          <w:b w:val="0"/>
          <w:noProof w:val="0"/>
        </w:rPr>
        <w:t>&lt;/Article&gt;</w:t>
      </w:r>
    </w:p>
    <w:p w14:paraId="5CF7F81D" w14:textId="77777777" w:rsidR="003F1540" w:rsidRPr="00E632E2" w:rsidRDefault="003F1540" w:rsidP="003F1540">
      <w:pPr>
        <w:keepNext/>
      </w:pPr>
      <w:r w:rsidRPr="00E632E2">
        <w:rPr>
          <w:rStyle w:val="HideTWBExt"/>
          <w:noProof w:val="0"/>
        </w:rPr>
        <w:t>&lt;DocAmend2&gt;</w:t>
      </w:r>
      <w:r w:rsidR="00E30BFE" w:rsidRPr="00E632E2">
        <w:t>Regulation (EU) 2016/1011</w:t>
      </w:r>
      <w:r w:rsidRPr="00E632E2">
        <w:rPr>
          <w:rStyle w:val="HideTWBExt"/>
          <w:noProof w:val="0"/>
        </w:rPr>
        <w:t>&lt;/DocAmend2&gt;</w:t>
      </w:r>
    </w:p>
    <w:p w14:paraId="2FF6681F" w14:textId="77777777" w:rsidR="003F1540" w:rsidRPr="00E632E2" w:rsidRDefault="003F1540" w:rsidP="003F1540">
      <w:r w:rsidRPr="00E632E2">
        <w:rPr>
          <w:rStyle w:val="HideTWBExt"/>
          <w:noProof w:val="0"/>
        </w:rPr>
        <w:t>&lt;Article2&gt;</w:t>
      </w:r>
      <w:r w:rsidR="00E30BFE" w:rsidRPr="00E632E2">
        <w:t>Article 3 – paragraph 1 – point 23b</w:t>
      </w:r>
      <w:r w:rsidRPr="00E632E2">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33F008D8" w14:textId="77777777" w:rsidTr="003F1540">
        <w:trPr>
          <w:jc w:val="center"/>
        </w:trPr>
        <w:tc>
          <w:tcPr>
            <w:tcW w:w="9752" w:type="dxa"/>
            <w:gridSpan w:val="2"/>
          </w:tcPr>
          <w:p w14:paraId="1B054335" w14:textId="77777777" w:rsidR="003F1540" w:rsidRPr="00E632E2" w:rsidRDefault="003F1540">
            <w:pPr>
              <w:keepNext/>
            </w:pPr>
          </w:p>
        </w:tc>
      </w:tr>
      <w:tr w:rsidR="003F1540" w:rsidRPr="00E632E2" w14:paraId="56D311BC" w14:textId="77777777" w:rsidTr="003F1540">
        <w:trPr>
          <w:jc w:val="center"/>
        </w:trPr>
        <w:tc>
          <w:tcPr>
            <w:tcW w:w="4876" w:type="dxa"/>
            <w:hideMark/>
          </w:tcPr>
          <w:p w14:paraId="1A900FFA" w14:textId="77777777" w:rsidR="003F1540" w:rsidRPr="00E632E2" w:rsidRDefault="003F1540">
            <w:pPr>
              <w:pStyle w:val="ColumnHeading"/>
              <w:keepNext/>
            </w:pPr>
            <w:r w:rsidRPr="00E632E2">
              <w:t>Text proposed by the Commission</w:t>
            </w:r>
          </w:p>
        </w:tc>
        <w:tc>
          <w:tcPr>
            <w:tcW w:w="4876" w:type="dxa"/>
            <w:hideMark/>
          </w:tcPr>
          <w:p w14:paraId="23C1A491" w14:textId="77777777" w:rsidR="003F1540" w:rsidRPr="00E632E2" w:rsidRDefault="003F1540">
            <w:pPr>
              <w:pStyle w:val="ColumnHeading"/>
              <w:keepNext/>
            </w:pPr>
            <w:r w:rsidRPr="00E632E2">
              <w:t>Amendment</w:t>
            </w:r>
          </w:p>
        </w:tc>
      </w:tr>
      <w:tr w:rsidR="003F1540" w:rsidRPr="00E632E2" w14:paraId="2A20E89D" w14:textId="77777777" w:rsidTr="003F1540">
        <w:trPr>
          <w:jc w:val="center"/>
        </w:trPr>
        <w:tc>
          <w:tcPr>
            <w:tcW w:w="4876" w:type="dxa"/>
            <w:hideMark/>
          </w:tcPr>
          <w:p w14:paraId="7A5C48F0" w14:textId="77777777" w:rsidR="003F1540" w:rsidRPr="00E632E2" w:rsidRDefault="003F1540">
            <w:pPr>
              <w:pStyle w:val="Normal6"/>
            </w:pPr>
            <w:r w:rsidRPr="00E632E2">
              <w:t>(23b)</w:t>
            </w:r>
            <w:r w:rsidRPr="00E632E2">
              <w:tab/>
              <w:t xml:space="preserve">‘positive carbon impact benchmark’ means a benchmark where the underlying assets, for the purposes of point 1(b)(ii) of this paragraph, are selected on the basis that </w:t>
            </w:r>
            <w:r w:rsidRPr="00E632E2">
              <w:rPr>
                <w:b/>
                <w:i/>
              </w:rPr>
              <w:t>their carbon</w:t>
            </w:r>
            <w:r w:rsidRPr="00E632E2">
              <w:t xml:space="preserve"> emissions savings </w:t>
            </w:r>
            <w:r w:rsidRPr="00E632E2">
              <w:rPr>
                <w:b/>
                <w:i/>
              </w:rPr>
              <w:t>exceed the asset's carbon footprint</w:t>
            </w:r>
            <w:r w:rsidRPr="00E632E2">
              <w:t xml:space="preserve"> and which is constructed in accordance with the standards laid down in the delegated acts referred to in Article 19a(2).;</w:t>
            </w:r>
          </w:p>
        </w:tc>
        <w:tc>
          <w:tcPr>
            <w:tcW w:w="4876" w:type="dxa"/>
            <w:hideMark/>
          </w:tcPr>
          <w:p w14:paraId="416711C1" w14:textId="17A08348" w:rsidR="003F1540" w:rsidRPr="00E632E2" w:rsidRDefault="003F1540" w:rsidP="00F43ABE">
            <w:pPr>
              <w:pStyle w:val="Normal6"/>
              <w:rPr>
                <w:szCs w:val="24"/>
              </w:rPr>
            </w:pPr>
            <w:r w:rsidRPr="00E632E2">
              <w:t>(23b)</w:t>
            </w:r>
            <w:r w:rsidRPr="00E632E2">
              <w:tab/>
              <w:t xml:space="preserve">‘positive carbon impact benchmark’ means a benchmark where the underlying assets, for the purposes of point 1(b)(ii) of this paragraph, are selected on the basis that </w:t>
            </w:r>
            <w:r w:rsidRPr="00E632E2">
              <w:rPr>
                <w:b/>
                <w:i/>
              </w:rPr>
              <w:t>the resulting benchmark portfolio displays</w:t>
            </w:r>
            <w:r w:rsidRPr="00E632E2">
              <w:t xml:space="preserve"> emissions savings </w:t>
            </w:r>
            <w:r w:rsidRPr="00E632E2">
              <w:rPr>
                <w:b/>
                <w:i/>
              </w:rPr>
              <w:t xml:space="preserve">that are expected, by its administrator, to be the minimum required to achieve the Paris </w:t>
            </w:r>
            <w:r w:rsidR="00827092" w:rsidRPr="00E632E2">
              <w:rPr>
                <w:b/>
                <w:i/>
              </w:rPr>
              <w:t xml:space="preserve">Climate </w:t>
            </w:r>
            <w:r w:rsidRPr="00E632E2">
              <w:rPr>
                <w:b/>
                <w:i/>
              </w:rPr>
              <w:t>Agreement commitments as implemented in U</w:t>
            </w:r>
            <w:r w:rsidR="00F43ABE" w:rsidRPr="00E632E2">
              <w:rPr>
                <w:b/>
                <w:i/>
              </w:rPr>
              <w:t>nion</w:t>
            </w:r>
            <w:r w:rsidRPr="00E632E2">
              <w:rPr>
                <w:b/>
                <w:i/>
              </w:rPr>
              <w:t xml:space="preserve"> l</w:t>
            </w:r>
            <w:r w:rsidR="00F43ABE" w:rsidRPr="00E632E2">
              <w:rPr>
                <w:b/>
                <w:i/>
              </w:rPr>
              <w:t>aw</w:t>
            </w:r>
            <w:r w:rsidRPr="00E632E2">
              <w:t xml:space="preserve"> and which is constructed in accordance with the standards laid down in the delegated acts referred to in Article 19a(2).</w:t>
            </w:r>
            <w:r w:rsidR="00C45061" w:rsidRPr="00E632E2">
              <w:t>;</w:t>
            </w:r>
          </w:p>
        </w:tc>
      </w:tr>
    </w:tbl>
    <w:p w14:paraId="4B889E29"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53285D8A" w14:textId="77777777" w:rsidR="003F1540" w:rsidRPr="00E632E2" w:rsidRDefault="003F1540" w:rsidP="003F1540">
      <w:pPr>
        <w:rPr>
          <w:szCs w:val="24"/>
        </w:rPr>
      </w:pPr>
      <w:r w:rsidRPr="00E632E2">
        <w:rPr>
          <w:rStyle w:val="HideTWBExt"/>
          <w:noProof w:val="0"/>
        </w:rPr>
        <w:lastRenderedPageBreak/>
        <w:t>&lt;/Amend&gt;</w:t>
      </w:r>
    </w:p>
    <w:p w14:paraId="4E995E62" w14:textId="03D926C5"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13</w:t>
      </w:r>
      <w:r w:rsidRPr="00E632E2">
        <w:rPr>
          <w:rStyle w:val="HideTWBExt"/>
          <w:b w:val="0"/>
          <w:noProof w:val="0"/>
        </w:rPr>
        <w:t>&lt;/NumAm&gt;</w:t>
      </w:r>
    </w:p>
    <w:p w14:paraId="6CC6BAFA"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1EFFFFCF" w14:textId="77777777" w:rsidR="003F1540" w:rsidRPr="00E632E2" w:rsidRDefault="003F1540" w:rsidP="003F1540">
      <w:pPr>
        <w:pStyle w:val="NormalBold"/>
      </w:pPr>
      <w:r w:rsidRPr="00E632E2">
        <w:rPr>
          <w:rStyle w:val="HideTWBExt"/>
          <w:b w:val="0"/>
          <w:noProof w:val="0"/>
        </w:rPr>
        <w:t>&lt;Article&gt;</w:t>
      </w:r>
      <w:r w:rsidRPr="00E632E2">
        <w:t>Article 1 – paragraph 1 – point 1 a (new)</w:t>
      </w:r>
      <w:r w:rsidRPr="00E632E2">
        <w:rPr>
          <w:rStyle w:val="HideTWBExt"/>
          <w:b w:val="0"/>
          <w:noProof w:val="0"/>
        </w:rPr>
        <w:t>&lt;/Article&gt;</w:t>
      </w:r>
    </w:p>
    <w:p w14:paraId="5E056CC2" w14:textId="77777777" w:rsidR="00E30BFE" w:rsidRPr="00E632E2" w:rsidRDefault="00E30BFE" w:rsidP="00E30BFE">
      <w:pPr>
        <w:keepNext/>
      </w:pPr>
      <w:r w:rsidRPr="00E632E2">
        <w:rPr>
          <w:rStyle w:val="HideTWBExt"/>
          <w:noProof w:val="0"/>
        </w:rPr>
        <w:t>&lt;DocAmend2&gt;</w:t>
      </w:r>
      <w:r w:rsidRPr="00E632E2">
        <w:t>Regulation (EU) 2016/1011</w:t>
      </w:r>
      <w:r w:rsidRPr="00E632E2">
        <w:rPr>
          <w:rStyle w:val="HideTWBExt"/>
          <w:noProof w:val="0"/>
        </w:rPr>
        <w:t>&lt;/DocAmend2&gt;</w:t>
      </w:r>
    </w:p>
    <w:p w14:paraId="112A3009" w14:textId="3CB0FD3A" w:rsidR="00E30BFE" w:rsidRPr="00E632E2" w:rsidRDefault="00E30BFE" w:rsidP="00E30BFE">
      <w:pPr>
        <w:rPr>
          <w:lang w:val="fr-FR"/>
        </w:rPr>
      </w:pPr>
      <w:r w:rsidRPr="00E632E2">
        <w:rPr>
          <w:rStyle w:val="HideTWBExt"/>
          <w:noProof w:val="0"/>
          <w:lang w:val="fr-FR"/>
        </w:rPr>
        <w:t>&lt;Article2&gt;</w:t>
      </w:r>
      <w:r w:rsidRPr="00E632E2">
        <w:rPr>
          <w:lang w:val="fr-FR"/>
        </w:rPr>
        <w:t xml:space="preserve">Article 3 – paragraph 1 – </w:t>
      </w:r>
      <w:r w:rsidR="00B5353D" w:rsidRPr="00E632E2">
        <w:rPr>
          <w:lang w:val="fr-FR"/>
        </w:rPr>
        <w:t>subparagraph 1 a (new)</w:t>
      </w:r>
      <w:r w:rsidRPr="00E632E2">
        <w:rPr>
          <w:rStyle w:val="HideTWBExt"/>
          <w:noProof w:val="0"/>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77759C35" w14:textId="77777777" w:rsidTr="00E30BFE">
        <w:trPr>
          <w:jc w:val="center"/>
        </w:trPr>
        <w:tc>
          <w:tcPr>
            <w:tcW w:w="9752" w:type="dxa"/>
            <w:gridSpan w:val="2"/>
          </w:tcPr>
          <w:p w14:paraId="1A818FC8" w14:textId="77777777" w:rsidR="003F1540" w:rsidRPr="00E632E2" w:rsidRDefault="003F1540">
            <w:pPr>
              <w:keepNext/>
              <w:rPr>
                <w:lang w:val="fr-FR"/>
              </w:rPr>
            </w:pPr>
          </w:p>
        </w:tc>
      </w:tr>
      <w:tr w:rsidR="003F1540" w:rsidRPr="00E632E2" w14:paraId="50348F4D" w14:textId="77777777" w:rsidTr="00E30BFE">
        <w:trPr>
          <w:jc w:val="center"/>
        </w:trPr>
        <w:tc>
          <w:tcPr>
            <w:tcW w:w="4876" w:type="dxa"/>
            <w:hideMark/>
          </w:tcPr>
          <w:p w14:paraId="75F69210" w14:textId="77777777" w:rsidR="003F1540" w:rsidRPr="00E632E2" w:rsidRDefault="003F1540">
            <w:pPr>
              <w:pStyle w:val="ColumnHeading"/>
              <w:keepNext/>
            </w:pPr>
            <w:r w:rsidRPr="00E632E2">
              <w:t>Text proposed by the Commission</w:t>
            </w:r>
          </w:p>
        </w:tc>
        <w:tc>
          <w:tcPr>
            <w:tcW w:w="4876" w:type="dxa"/>
            <w:hideMark/>
          </w:tcPr>
          <w:p w14:paraId="0F4E76E9" w14:textId="77777777" w:rsidR="003F1540" w:rsidRPr="00E632E2" w:rsidRDefault="003F1540">
            <w:pPr>
              <w:pStyle w:val="ColumnHeading"/>
              <w:keepNext/>
            </w:pPr>
            <w:r w:rsidRPr="00E632E2">
              <w:t>Amendment</w:t>
            </w:r>
          </w:p>
        </w:tc>
      </w:tr>
      <w:tr w:rsidR="00E30BFE" w:rsidRPr="00E632E2" w14:paraId="7609141C" w14:textId="77777777" w:rsidTr="00E30BFE">
        <w:trPr>
          <w:jc w:val="center"/>
        </w:trPr>
        <w:tc>
          <w:tcPr>
            <w:tcW w:w="4876" w:type="dxa"/>
          </w:tcPr>
          <w:p w14:paraId="0B6A61D4" w14:textId="77777777" w:rsidR="00E30BFE" w:rsidRPr="00E632E2" w:rsidRDefault="00E30BFE">
            <w:pPr>
              <w:pStyle w:val="Normal6"/>
            </w:pPr>
          </w:p>
        </w:tc>
        <w:tc>
          <w:tcPr>
            <w:tcW w:w="4876" w:type="dxa"/>
          </w:tcPr>
          <w:p w14:paraId="0B37C83A" w14:textId="731E255F" w:rsidR="00E30BFE" w:rsidRPr="00E632E2" w:rsidRDefault="00047DE3" w:rsidP="008238A3">
            <w:pPr>
              <w:pStyle w:val="Normal6"/>
              <w:rPr>
                <w:b/>
                <w:i/>
              </w:rPr>
            </w:pPr>
            <w:r w:rsidRPr="00E632E2">
              <w:rPr>
                <w:b/>
                <w:i/>
              </w:rPr>
              <w:t>T</w:t>
            </w:r>
            <w:r w:rsidR="00E30BFE" w:rsidRPr="00E632E2">
              <w:rPr>
                <w:b/>
                <w:i/>
              </w:rPr>
              <w:t xml:space="preserve">he following subparagraph 1a is </w:t>
            </w:r>
            <w:r w:rsidR="008238A3" w:rsidRPr="00E632E2">
              <w:rPr>
                <w:b/>
                <w:i/>
              </w:rPr>
              <w:t>added</w:t>
            </w:r>
            <w:r w:rsidR="00E30BFE" w:rsidRPr="00E632E2">
              <w:rPr>
                <w:b/>
                <w:i/>
              </w:rPr>
              <w:t>:</w:t>
            </w:r>
          </w:p>
        </w:tc>
      </w:tr>
      <w:tr w:rsidR="003F1540" w:rsidRPr="00E632E2" w14:paraId="6AAA5EAF" w14:textId="77777777" w:rsidTr="00E30BFE">
        <w:trPr>
          <w:jc w:val="center"/>
        </w:trPr>
        <w:tc>
          <w:tcPr>
            <w:tcW w:w="4876" w:type="dxa"/>
          </w:tcPr>
          <w:p w14:paraId="55557B78" w14:textId="77777777" w:rsidR="003F1540" w:rsidRPr="00E632E2" w:rsidRDefault="003F1540">
            <w:pPr>
              <w:pStyle w:val="Normal6"/>
            </w:pPr>
          </w:p>
        </w:tc>
        <w:tc>
          <w:tcPr>
            <w:tcW w:w="4876" w:type="dxa"/>
            <w:hideMark/>
          </w:tcPr>
          <w:p w14:paraId="4B6E89D4" w14:textId="78091AC5" w:rsidR="003F1540" w:rsidRPr="00E632E2" w:rsidRDefault="00E30BFE" w:rsidP="00F43ABE">
            <w:pPr>
              <w:pStyle w:val="Normal6"/>
              <w:rPr>
                <w:szCs w:val="24"/>
              </w:rPr>
            </w:pPr>
            <w:r w:rsidRPr="00E632E2">
              <w:rPr>
                <w:b/>
                <w:i/>
              </w:rPr>
              <w:t>‘</w:t>
            </w:r>
            <w:r w:rsidR="003F1540" w:rsidRPr="00E632E2">
              <w:rPr>
                <w:b/>
                <w:i/>
              </w:rPr>
              <w:t xml:space="preserve">By 2022, benchmark providers will ensure that all the benchmarks provided and published are positive carbon impact benchmarks, fully aligned with the Paris </w:t>
            </w:r>
            <w:r w:rsidR="00827092" w:rsidRPr="00E632E2">
              <w:rPr>
                <w:b/>
                <w:i/>
              </w:rPr>
              <w:t xml:space="preserve">Climate </w:t>
            </w:r>
            <w:r w:rsidR="003F1540" w:rsidRPr="00E632E2">
              <w:rPr>
                <w:b/>
                <w:i/>
              </w:rPr>
              <w:t>Agreement commitments as implemented in U</w:t>
            </w:r>
            <w:r w:rsidR="00F43ABE" w:rsidRPr="00E632E2">
              <w:rPr>
                <w:b/>
                <w:i/>
              </w:rPr>
              <w:t>nion</w:t>
            </w:r>
            <w:r w:rsidR="003F1540" w:rsidRPr="00E632E2">
              <w:rPr>
                <w:b/>
                <w:i/>
              </w:rPr>
              <w:t xml:space="preserve"> l</w:t>
            </w:r>
            <w:r w:rsidR="00F43ABE" w:rsidRPr="00E632E2">
              <w:rPr>
                <w:b/>
                <w:i/>
              </w:rPr>
              <w:t>aw</w:t>
            </w:r>
            <w:r w:rsidR="003F1540" w:rsidRPr="00E632E2">
              <w:rPr>
                <w:b/>
                <w:i/>
              </w:rPr>
              <w:t xml:space="preserve"> and this according to a standardised methodology which will be developed by the Commission in a delegated act published not later than </w:t>
            </w:r>
            <w:r w:rsidR="00F43ABE" w:rsidRPr="00E632E2">
              <w:rPr>
                <w:b/>
                <w:i/>
              </w:rPr>
              <w:t>two</w:t>
            </w:r>
            <w:r w:rsidR="003F1540" w:rsidRPr="00E632E2">
              <w:rPr>
                <w:b/>
                <w:i/>
              </w:rPr>
              <w:t xml:space="preserve"> years after the entry into force of this regulation. In the delegated act the Commission will</w:t>
            </w:r>
            <w:r w:rsidRPr="00E632E2">
              <w:rPr>
                <w:b/>
                <w:i/>
              </w:rPr>
              <w:t xml:space="preserve"> refer to existing U</w:t>
            </w:r>
            <w:r w:rsidR="00F43ABE" w:rsidRPr="00E632E2">
              <w:rPr>
                <w:b/>
                <w:i/>
              </w:rPr>
              <w:t>nion</w:t>
            </w:r>
            <w:r w:rsidRPr="00E632E2">
              <w:rPr>
                <w:b/>
                <w:i/>
              </w:rPr>
              <w:t xml:space="preserve"> frameworks setting out uniform criteria to determine the suitability of an economic activity for the purposes of determining the degree of sustainability of an investment.’</w:t>
            </w:r>
          </w:p>
        </w:tc>
      </w:tr>
    </w:tbl>
    <w:p w14:paraId="24FF4328"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6FC0185D" w14:textId="77777777" w:rsidR="003F1540" w:rsidRPr="00E632E2" w:rsidRDefault="003F1540" w:rsidP="003F1540">
      <w:pPr>
        <w:rPr>
          <w:szCs w:val="24"/>
        </w:rPr>
      </w:pPr>
      <w:r w:rsidRPr="00E632E2">
        <w:rPr>
          <w:rStyle w:val="HideTWBExt"/>
          <w:noProof w:val="0"/>
        </w:rPr>
        <w:t>&lt;/Amend&gt;</w:t>
      </w:r>
    </w:p>
    <w:p w14:paraId="3773A8E3" w14:textId="10550290"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14</w:t>
      </w:r>
      <w:r w:rsidRPr="00E632E2">
        <w:rPr>
          <w:rStyle w:val="HideTWBExt"/>
          <w:b w:val="0"/>
          <w:noProof w:val="0"/>
        </w:rPr>
        <w:t>&lt;/NumAm&gt;</w:t>
      </w:r>
    </w:p>
    <w:p w14:paraId="6B22E51A"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34BC1214" w14:textId="77777777" w:rsidR="003F1540" w:rsidRPr="00E632E2" w:rsidRDefault="003F1540" w:rsidP="003F1540">
      <w:pPr>
        <w:pStyle w:val="NormalBold"/>
      </w:pPr>
      <w:r w:rsidRPr="00E632E2">
        <w:rPr>
          <w:rStyle w:val="HideTWBExt"/>
          <w:b w:val="0"/>
          <w:noProof w:val="0"/>
        </w:rPr>
        <w:t>&lt;Article&gt;</w:t>
      </w:r>
      <w:r w:rsidRPr="00E632E2">
        <w:t>Article 1 – paragraph 1 – point 2 – point a</w:t>
      </w:r>
      <w:r w:rsidRPr="00E632E2">
        <w:rPr>
          <w:rStyle w:val="HideTWBExt"/>
          <w:b w:val="0"/>
          <w:noProof w:val="0"/>
        </w:rPr>
        <w:t>&lt;/Article&gt;</w:t>
      </w:r>
    </w:p>
    <w:p w14:paraId="2E0E5804" w14:textId="77777777" w:rsidR="003F1540" w:rsidRPr="00E632E2" w:rsidRDefault="003F1540" w:rsidP="003F1540">
      <w:pPr>
        <w:keepNext/>
      </w:pPr>
      <w:r w:rsidRPr="00E632E2">
        <w:rPr>
          <w:rStyle w:val="HideTWBExt"/>
          <w:noProof w:val="0"/>
        </w:rPr>
        <w:t>&lt;DocAmend2&gt;</w:t>
      </w:r>
      <w:r w:rsidR="00E30BFE" w:rsidRPr="00E632E2">
        <w:t>Regulation (EU) 2016/1011</w:t>
      </w:r>
      <w:r w:rsidRPr="00E632E2">
        <w:rPr>
          <w:rStyle w:val="HideTWBExt"/>
          <w:noProof w:val="0"/>
        </w:rPr>
        <w:t>&lt;/DocAmend2&gt;</w:t>
      </w:r>
    </w:p>
    <w:p w14:paraId="7753679E" w14:textId="77777777" w:rsidR="003F1540" w:rsidRPr="00E632E2" w:rsidRDefault="003F1540" w:rsidP="003F1540">
      <w:pPr>
        <w:rPr>
          <w:lang w:val="fr-FR"/>
        </w:rPr>
      </w:pPr>
      <w:r w:rsidRPr="00E632E2">
        <w:rPr>
          <w:rStyle w:val="HideTWBExt"/>
          <w:noProof w:val="0"/>
          <w:lang w:val="fr-FR"/>
        </w:rPr>
        <w:t>&lt;Article2&gt;</w:t>
      </w:r>
      <w:r w:rsidR="00E30BFE" w:rsidRPr="00E632E2">
        <w:rPr>
          <w:lang w:val="fr-FR"/>
        </w:rPr>
        <w:t>Article 13 – paragraph 1 – point d</w:t>
      </w:r>
      <w:r w:rsidRPr="00E632E2">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0504E532" w14:textId="77777777" w:rsidTr="003F1540">
        <w:trPr>
          <w:jc w:val="center"/>
        </w:trPr>
        <w:tc>
          <w:tcPr>
            <w:tcW w:w="9752" w:type="dxa"/>
            <w:gridSpan w:val="2"/>
          </w:tcPr>
          <w:p w14:paraId="55BB1441" w14:textId="77777777" w:rsidR="003F1540" w:rsidRPr="00E632E2" w:rsidRDefault="003F1540">
            <w:pPr>
              <w:keepNext/>
              <w:rPr>
                <w:lang w:val="fr-FR"/>
              </w:rPr>
            </w:pPr>
          </w:p>
        </w:tc>
      </w:tr>
      <w:tr w:rsidR="003F1540" w:rsidRPr="00E632E2" w14:paraId="3814DF3A" w14:textId="77777777" w:rsidTr="003F1540">
        <w:trPr>
          <w:jc w:val="center"/>
        </w:trPr>
        <w:tc>
          <w:tcPr>
            <w:tcW w:w="4876" w:type="dxa"/>
            <w:hideMark/>
          </w:tcPr>
          <w:p w14:paraId="27D97200" w14:textId="77777777" w:rsidR="003F1540" w:rsidRPr="00E632E2" w:rsidRDefault="003F1540">
            <w:pPr>
              <w:pStyle w:val="ColumnHeading"/>
              <w:keepNext/>
            </w:pPr>
            <w:r w:rsidRPr="00E632E2">
              <w:t>Text proposed by the Commission</w:t>
            </w:r>
          </w:p>
        </w:tc>
        <w:tc>
          <w:tcPr>
            <w:tcW w:w="4876" w:type="dxa"/>
            <w:hideMark/>
          </w:tcPr>
          <w:p w14:paraId="5BF744BD" w14:textId="77777777" w:rsidR="003F1540" w:rsidRPr="00E632E2" w:rsidRDefault="003F1540">
            <w:pPr>
              <w:pStyle w:val="ColumnHeading"/>
              <w:keepNext/>
            </w:pPr>
            <w:r w:rsidRPr="00E632E2">
              <w:t>Amendment</w:t>
            </w:r>
          </w:p>
        </w:tc>
      </w:tr>
      <w:tr w:rsidR="003F1540" w:rsidRPr="00E632E2" w14:paraId="0F684AA8" w14:textId="77777777" w:rsidTr="003F1540">
        <w:trPr>
          <w:jc w:val="center"/>
        </w:trPr>
        <w:tc>
          <w:tcPr>
            <w:tcW w:w="4876" w:type="dxa"/>
            <w:hideMark/>
          </w:tcPr>
          <w:p w14:paraId="13C48260" w14:textId="77777777" w:rsidR="003F1540" w:rsidRPr="00E632E2" w:rsidRDefault="003F1540">
            <w:pPr>
              <w:pStyle w:val="Normal6"/>
            </w:pPr>
            <w:r w:rsidRPr="00E632E2">
              <w:t>(d)</w:t>
            </w:r>
            <w:r w:rsidRPr="00E632E2">
              <w:tab/>
              <w:t xml:space="preserve">an explanation of how the key elements of the methodology laid down in point (a) reflect environmental, social or governance (‘ESG’) factors for each benchmark or family of benchmarks </w:t>
            </w:r>
            <w:r w:rsidRPr="00E632E2">
              <w:rPr>
                <w:b/>
                <w:i/>
              </w:rPr>
              <w:t xml:space="preserve">which </w:t>
            </w:r>
            <w:r w:rsidRPr="00E632E2">
              <w:rPr>
                <w:b/>
                <w:i/>
              </w:rPr>
              <w:lastRenderedPageBreak/>
              <w:t>pursue or take into account ESG objectives;</w:t>
            </w:r>
          </w:p>
        </w:tc>
        <w:tc>
          <w:tcPr>
            <w:tcW w:w="4876" w:type="dxa"/>
            <w:hideMark/>
          </w:tcPr>
          <w:p w14:paraId="74CA493B" w14:textId="06DAA3A3" w:rsidR="003F1540" w:rsidRPr="00E632E2" w:rsidRDefault="003F1540" w:rsidP="00F43ABE">
            <w:pPr>
              <w:pStyle w:val="Normal6"/>
              <w:rPr>
                <w:szCs w:val="24"/>
              </w:rPr>
            </w:pPr>
            <w:r w:rsidRPr="00E632E2">
              <w:lastRenderedPageBreak/>
              <w:t>(d)</w:t>
            </w:r>
            <w:r w:rsidRPr="00E632E2">
              <w:tab/>
              <w:t>an explanation of how the key elements of the methodology laid down in point (a) reflect environmental, social or governance (‘ESG’) factors for each benchmark or family of benchmarks</w:t>
            </w:r>
            <w:r w:rsidRPr="00E632E2">
              <w:rPr>
                <w:b/>
                <w:i/>
              </w:rPr>
              <w:t xml:space="preserve">, </w:t>
            </w:r>
            <w:r w:rsidR="008238A3" w:rsidRPr="00E632E2">
              <w:rPr>
                <w:b/>
                <w:i/>
              </w:rPr>
              <w:t xml:space="preserve">in </w:t>
            </w:r>
            <w:r w:rsidR="008238A3" w:rsidRPr="00E632E2">
              <w:rPr>
                <w:b/>
                <w:i/>
              </w:rPr>
              <w:lastRenderedPageBreak/>
              <w:t>particular</w:t>
            </w:r>
            <w:r w:rsidR="00F43ABE" w:rsidRPr="00E632E2">
              <w:rPr>
                <w:b/>
                <w:i/>
              </w:rPr>
              <w:t xml:space="preserve"> </w:t>
            </w:r>
            <w:r w:rsidRPr="00E632E2">
              <w:rPr>
                <w:b/>
                <w:i/>
              </w:rPr>
              <w:t xml:space="preserve">how they align with the commitments of the Paris </w:t>
            </w:r>
            <w:r w:rsidR="00827092" w:rsidRPr="00E632E2">
              <w:rPr>
                <w:b/>
                <w:i/>
              </w:rPr>
              <w:t xml:space="preserve">Climate </w:t>
            </w:r>
            <w:r w:rsidRPr="00E632E2">
              <w:rPr>
                <w:b/>
                <w:i/>
              </w:rPr>
              <w:t>Agreement as implemented in U</w:t>
            </w:r>
            <w:r w:rsidR="00F43ABE" w:rsidRPr="00E632E2">
              <w:rPr>
                <w:b/>
                <w:i/>
              </w:rPr>
              <w:t>nion</w:t>
            </w:r>
            <w:r w:rsidRPr="00E632E2">
              <w:rPr>
                <w:b/>
                <w:i/>
              </w:rPr>
              <w:t xml:space="preserve"> l</w:t>
            </w:r>
            <w:r w:rsidR="00F43ABE" w:rsidRPr="00E632E2">
              <w:rPr>
                <w:b/>
                <w:i/>
              </w:rPr>
              <w:t>aw</w:t>
            </w:r>
            <w:r w:rsidRPr="00E632E2">
              <w:rPr>
                <w:b/>
                <w:i/>
              </w:rPr>
              <w:t>.</w:t>
            </w:r>
            <w:r w:rsidR="000F5603" w:rsidRPr="00E632E2">
              <w:t xml:space="preserve"> </w:t>
            </w:r>
            <w:r w:rsidR="000F5603" w:rsidRPr="00E632E2">
              <w:rPr>
                <w:b/>
                <w:i/>
              </w:rPr>
              <w:t xml:space="preserve">The explanation </w:t>
            </w:r>
            <w:r w:rsidR="00F43ABE" w:rsidRPr="00E632E2">
              <w:rPr>
                <w:b/>
                <w:i/>
              </w:rPr>
              <w:t xml:space="preserve">shall </w:t>
            </w:r>
            <w:r w:rsidR="000F5603" w:rsidRPr="00E632E2">
              <w:rPr>
                <w:b/>
                <w:i/>
              </w:rPr>
              <w:t xml:space="preserve">also indicate the extent to which greenhouse gas emissions such as scope 1, 2 and 3 emissions or other greenhouse gases </w:t>
            </w:r>
            <w:r w:rsidR="00F43ABE" w:rsidRPr="00E632E2">
              <w:rPr>
                <w:b/>
                <w:i/>
              </w:rPr>
              <w:t xml:space="preserve">such </w:t>
            </w:r>
            <w:r w:rsidR="000F5603" w:rsidRPr="00E632E2">
              <w:rPr>
                <w:b/>
                <w:i/>
              </w:rPr>
              <w:t>as methane have been taken into account.</w:t>
            </w:r>
          </w:p>
        </w:tc>
      </w:tr>
    </w:tbl>
    <w:p w14:paraId="2F04CA00" w14:textId="77777777" w:rsidR="003F1540" w:rsidRPr="00E632E2" w:rsidRDefault="003F1540" w:rsidP="003F1540">
      <w:pPr>
        <w:pStyle w:val="Olang"/>
        <w:rPr>
          <w:noProof w:val="0"/>
          <w:szCs w:val="24"/>
        </w:rPr>
      </w:pPr>
      <w:r w:rsidRPr="00E632E2">
        <w:rPr>
          <w:noProof w:val="0"/>
          <w:szCs w:val="24"/>
        </w:rPr>
        <w:lastRenderedPageBreak/>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65C639F7" w14:textId="77777777" w:rsidR="003F1540" w:rsidRPr="00E632E2" w:rsidRDefault="003F1540" w:rsidP="003F1540">
      <w:pPr>
        <w:rPr>
          <w:szCs w:val="24"/>
        </w:rPr>
      </w:pPr>
      <w:r w:rsidRPr="00E632E2">
        <w:rPr>
          <w:rStyle w:val="HideTWBExt"/>
          <w:noProof w:val="0"/>
        </w:rPr>
        <w:t>&lt;/Amend&gt;</w:t>
      </w:r>
    </w:p>
    <w:p w14:paraId="65884773" w14:textId="4310C870"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15</w:t>
      </w:r>
      <w:r w:rsidRPr="00E632E2">
        <w:rPr>
          <w:rStyle w:val="HideTWBExt"/>
          <w:b w:val="0"/>
          <w:noProof w:val="0"/>
        </w:rPr>
        <w:t>&lt;/NumAm&gt;</w:t>
      </w:r>
    </w:p>
    <w:p w14:paraId="3829E88F"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3ACB915D" w14:textId="77777777" w:rsidR="003F1540" w:rsidRPr="00E632E2" w:rsidRDefault="003F1540" w:rsidP="003F1540">
      <w:pPr>
        <w:pStyle w:val="NormalBold"/>
        <w:rPr>
          <w:lang w:val="fr-FR"/>
        </w:rPr>
      </w:pPr>
      <w:r w:rsidRPr="00E632E2">
        <w:rPr>
          <w:rStyle w:val="HideTWBExt"/>
          <w:b w:val="0"/>
          <w:noProof w:val="0"/>
          <w:lang w:val="fr-FR"/>
        </w:rPr>
        <w:t>&lt;Article&gt;</w:t>
      </w:r>
      <w:r w:rsidRPr="00E632E2">
        <w:rPr>
          <w:lang w:val="fr-FR"/>
        </w:rPr>
        <w:t>Article 1 – paragraph 1 – point 3</w:t>
      </w:r>
      <w:r w:rsidRPr="00E632E2">
        <w:rPr>
          <w:rStyle w:val="HideTWBExt"/>
          <w:b w:val="0"/>
          <w:noProof w:val="0"/>
          <w:lang w:val="fr-FR"/>
        </w:rPr>
        <w:t>&lt;/Article&gt;</w:t>
      </w:r>
    </w:p>
    <w:p w14:paraId="2E946757" w14:textId="77777777" w:rsidR="003F1540" w:rsidRPr="00E632E2" w:rsidRDefault="003F1540" w:rsidP="003F1540">
      <w:pPr>
        <w:keepNext/>
      </w:pPr>
      <w:r w:rsidRPr="00E632E2">
        <w:rPr>
          <w:rStyle w:val="HideTWBExt"/>
          <w:noProof w:val="0"/>
        </w:rPr>
        <w:t>&lt;DocAmend2&gt;</w:t>
      </w:r>
      <w:r w:rsidR="007E37CB" w:rsidRPr="00E632E2">
        <w:t>Regulation (EU) 2016/1011</w:t>
      </w:r>
      <w:r w:rsidRPr="00E632E2">
        <w:rPr>
          <w:rStyle w:val="HideTWBExt"/>
          <w:noProof w:val="0"/>
        </w:rPr>
        <w:t>&lt;/DocAmend2&gt;</w:t>
      </w:r>
    </w:p>
    <w:p w14:paraId="0E4D442F" w14:textId="75E65251" w:rsidR="003F1540" w:rsidRPr="00E1116C" w:rsidRDefault="003F1540" w:rsidP="003F1540">
      <w:pPr>
        <w:rPr>
          <w:lang w:val="fr-FR"/>
        </w:rPr>
      </w:pPr>
      <w:r w:rsidRPr="00E1116C">
        <w:rPr>
          <w:rStyle w:val="HideTWBExt"/>
          <w:noProof w:val="0"/>
          <w:lang w:val="fr-FR"/>
        </w:rPr>
        <w:t>&lt;Article2&gt;</w:t>
      </w:r>
      <w:r w:rsidR="007E37CB" w:rsidRPr="00E1116C">
        <w:rPr>
          <w:lang w:val="fr-FR"/>
        </w:rPr>
        <w:t>Article 19a – paragraph 2 – introductory part</w:t>
      </w:r>
      <w:r w:rsidRPr="00E1116C">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1116C" w14:paraId="60D0A35C" w14:textId="77777777" w:rsidTr="003F1540">
        <w:trPr>
          <w:jc w:val="center"/>
        </w:trPr>
        <w:tc>
          <w:tcPr>
            <w:tcW w:w="9752" w:type="dxa"/>
            <w:gridSpan w:val="2"/>
          </w:tcPr>
          <w:p w14:paraId="453D6ECE" w14:textId="77777777" w:rsidR="003F1540" w:rsidRPr="00E1116C" w:rsidRDefault="003F1540">
            <w:pPr>
              <w:keepNext/>
              <w:rPr>
                <w:lang w:val="fr-FR"/>
              </w:rPr>
            </w:pPr>
          </w:p>
        </w:tc>
      </w:tr>
      <w:tr w:rsidR="003F1540" w:rsidRPr="00E632E2" w14:paraId="654B7E5C" w14:textId="77777777" w:rsidTr="003F1540">
        <w:trPr>
          <w:jc w:val="center"/>
        </w:trPr>
        <w:tc>
          <w:tcPr>
            <w:tcW w:w="4876" w:type="dxa"/>
            <w:hideMark/>
          </w:tcPr>
          <w:p w14:paraId="3F17E80C" w14:textId="77777777" w:rsidR="003F1540" w:rsidRPr="00E632E2" w:rsidRDefault="003F1540">
            <w:pPr>
              <w:pStyle w:val="ColumnHeading"/>
              <w:keepNext/>
            </w:pPr>
            <w:r w:rsidRPr="00E632E2">
              <w:t>Text proposed by the Commission</w:t>
            </w:r>
          </w:p>
        </w:tc>
        <w:tc>
          <w:tcPr>
            <w:tcW w:w="4876" w:type="dxa"/>
            <w:hideMark/>
          </w:tcPr>
          <w:p w14:paraId="132DF638" w14:textId="77777777" w:rsidR="003F1540" w:rsidRPr="00E632E2" w:rsidRDefault="003F1540">
            <w:pPr>
              <w:pStyle w:val="ColumnHeading"/>
              <w:keepNext/>
            </w:pPr>
            <w:r w:rsidRPr="00E632E2">
              <w:t>Amendment</w:t>
            </w:r>
          </w:p>
        </w:tc>
      </w:tr>
      <w:tr w:rsidR="003F1540" w:rsidRPr="00E632E2" w14:paraId="30C44FD1" w14:textId="77777777" w:rsidTr="003F1540">
        <w:trPr>
          <w:jc w:val="center"/>
        </w:trPr>
        <w:tc>
          <w:tcPr>
            <w:tcW w:w="4876" w:type="dxa"/>
            <w:hideMark/>
          </w:tcPr>
          <w:p w14:paraId="1C3B7C38" w14:textId="77777777" w:rsidR="003F1540" w:rsidRPr="00E632E2" w:rsidRDefault="003F1540">
            <w:pPr>
              <w:pStyle w:val="Normal6"/>
            </w:pPr>
            <w:r w:rsidRPr="00E632E2">
              <w:t>(2)</w:t>
            </w:r>
            <w:r w:rsidRPr="00E632E2">
              <w:tab/>
              <w:t>The Commission shall be empowered to adopt delegated acts in accordance with Article 49 to specify further the minimum standards for low-carbon and positive carbon impact benchmarks</w:t>
            </w:r>
            <w:r w:rsidRPr="00E632E2">
              <w:rPr>
                <w:b/>
                <w:i/>
              </w:rPr>
              <w:t>, including:</w:t>
            </w:r>
          </w:p>
        </w:tc>
        <w:tc>
          <w:tcPr>
            <w:tcW w:w="4876" w:type="dxa"/>
            <w:hideMark/>
          </w:tcPr>
          <w:p w14:paraId="3119404B" w14:textId="76FEC0A5" w:rsidR="003F1540" w:rsidRPr="00E632E2" w:rsidRDefault="003F1540" w:rsidP="00F43ABE">
            <w:pPr>
              <w:pStyle w:val="Normal6"/>
              <w:rPr>
                <w:szCs w:val="24"/>
              </w:rPr>
            </w:pPr>
            <w:r w:rsidRPr="00E632E2">
              <w:t>(2)</w:t>
            </w:r>
            <w:r w:rsidRPr="00E632E2">
              <w:tab/>
              <w:t xml:space="preserve">The Commission shall be empowered to adopt delegated acts in accordance with Article 49 to specify further the minimum standards for low-carbon and positive carbon impact benchmarks </w:t>
            </w:r>
            <w:r w:rsidRPr="00E632E2">
              <w:rPr>
                <w:b/>
                <w:i/>
              </w:rPr>
              <w:t xml:space="preserve">and this in line with the Paris </w:t>
            </w:r>
            <w:r w:rsidR="00827092" w:rsidRPr="00E632E2">
              <w:rPr>
                <w:b/>
                <w:i/>
              </w:rPr>
              <w:t xml:space="preserve">Climate </w:t>
            </w:r>
            <w:r w:rsidRPr="00E632E2">
              <w:rPr>
                <w:b/>
                <w:i/>
              </w:rPr>
              <w:t>Agreement commitments as implemented in U</w:t>
            </w:r>
            <w:r w:rsidR="00F43ABE" w:rsidRPr="00E632E2">
              <w:rPr>
                <w:b/>
                <w:i/>
              </w:rPr>
              <w:t>nion</w:t>
            </w:r>
            <w:r w:rsidRPr="00E632E2">
              <w:rPr>
                <w:b/>
                <w:i/>
              </w:rPr>
              <w:t xml:space="preserve"> l</w:t>
            </w:r>
            <w:r w:rsidR="00F43ABE" w:rsidRPr="00E632E2">
              <w:rPr>
                <w:b/>
                <w:i/>
              </w:rPr>
              <w:t>aw</w:t>
            </w:r>
            <w:r w:rsidRPr="00E632E2">
              <w:rPr>
                <w:b/>
                <w:i/>
              </w:rPr>
              <w:t>.</w:t>
            </w:r>
          </w:p>
        </w:tc>
      </w:tr>
    </w:tbl>
    <w:p w14:paraId="7636E535"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33040BC1" w14:textId="77777777" w:rsidR="003F1540" w:rsidRPr="00E632E2" w:rsidRDefault="003F1540" w:rsidP="003F1540">
      <w:pPr>
        <w:rPr>
          <w:szCs w:val="24"/>
        </w:rPr>
      </w:pPr>
      <w:r w:rsidRPr="00E632E2">
        <w:rPr>
          <w:rStyle w:val="HideTWBExt"/>
          <w:noProof w:val="0"/>
        </w:rPr>
        <w:t>&lt;/Amend&gt;</w:t>
      </w:r>
    </w:p>
    <w:p w14:paraId="3D43BB5D" w14:textId="26317D11"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16</w:t>
      </w:r>
      <w:r w:rsidRPr="00E632E2">
        <w:rPr>
          <w:rStyle w:val="HideTWBExt"/>
          <w:b w:val="0"/>
          <w:noProof w:val="0"/>
        </w:rPr>
        <w:t>&lt;/NumAm&gt;</w:t>
      </w:r>
    </w:p>
    <w:p w14:paraId="6A77A6DD"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0B496273" w14:textId="77777777" w:rsidR="003F1540" w:rsidRPr="00E632E2" w:rsidRDefault="003F1540" w:rsidP="003F1540">
      <w:pPr>
        <w:pStyle w:val="NormalBold"/>
      </w:pPr>
      <w:r w:rsidRPr="00E632E2">
        <w:rPr>
          <w:rStyle w:val="HideTWBExt"/>
          <w:b w:val="0"/>
          <w:noProof w:val="0"/>
        </w:rPr>
        <w:t>&lt;Article&gt;</w:t>
      </w:r>
      <w:r w:rsidRPr="00E632E2">
        <w:t>Article 1 – paragraph 1 – point 3</w:t>
      </w:r>
      <w:r w:rsidRPr="00E632E2">
        <w:rPr>
          <w:rStyle w:val="HideTWBExt"/>
          <w:b w:val="0"/>
          <w:noProof w:val="0"/>
        </w:rPr>
        <w:t>&lt;/Article&gt;</w:t>
      </w:r>
    </w:p>
    <w:p w14:paraId="19529A6A" w14:textId="77777777" w:rsidR="003F1540" w:rsidRPr="00E632E2" w:rsidRDefault="003F1540" w:rsidP="003F1540">
      <w:pPr>
        <w:keepNext/>
      </w:pPr>
      <w:r w:rsidRPr="00E632E2">
        <w:rPr>
          <w:rStyle w:val="HideTWBExt"/>
          <w:noProof w:val="0"/>
        </w:rPr>
        <w:t>&lt;DocAmend2&gt;</w:t>
      </w:r>
      <w:r w:rsidR="007E37CB" w:rsidRPr="00E632E2">
        <w:t>Regulation (EU) 2016/1011</w:t>
      </w:r>
      <w:r w:rsidRPr="00E632E2">
        <w:rPr>
          <w:rStyle w:val="HideTWBExt"/>
          <w:noProof w:val="0"/>
        </w:rPr>
        <w:t>&lt;/DocAmend2&gt;</w:t>
      </w:r>
    </w:p>
    <w:p w14:paraId="10FA96AC" w14:textId="77777777" w:rsidR="003F1540" w:rsidRPr="00E632E2" w:rsidRDefault="003F1540" w:rsidP="003F1540">
      <w:r w:rsidRPr="00E632E2">
        <w:rPr>
          <w:rStyle w:val="HideTWBExt"/>
          <w:noProof w:val="0"/>
        </w:rPr>
        <w:t>&lt;Article2&gt;</w:t>
      </w:r>
      <w:r w:rsidR="007E37CB" w:rsidRPr="00E632E2">
        <w:t>Article 19a – paragraph 2 – point c</w:t>
      </w:r>
      <w:r w:rsidRPr="00E632E2">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6FDB704D" w14:textId="77777777" w:rsidTr="003F1540">
        <w:trPr>
          <w:jc w:val="center"/>
        </w:trPr>
        <w:tc>
          <w:tcPr>
            <w:tcW w:w="9752" w:type="dxa"/>
            <w:gridSpan w:val="2"/>
          </w:tcPr>
          <w:p w14:paraId="787306DE" w14:textId="77777777" w:rsidR="003F1540" w:rsidRPr="00E632E2" w:rsidRDefault="003F1540">
            <w:pPr>
              <w:keepNext/>
            </w:pPr>
          </w:p>
        </w:tc>
      </w:tr>
      <w:tr w:rsidR="003F1540" w:rsidRPr="00E632E2" w14:paraId="57056CB9" w14:textId="77777777" w:rsidTr="003F1540">
        <w:trPr>
          <w:jc w:val="center"/>
        </w:trPr>
        <w:tc>
          <w:tcPr>
            <w:tcW w:w="4876" w:type="dxa"/>
            <w:hideMark/>
          </w:tcPr>
          <w:p w14:paraId="50702B57" w14:textId="77777777" w:rsidR="003F1540" w:rsidRPr="00E632E2" w:rsidRDefault="003F1540">
            <w:pPr>
              <w:pStyle w:val="ColumnHeading"/>
              <w:keepNext/>
            </w:pPr>
            <w:r w:rsidRPr="00E632E2">
              <w:t>Text proposed by the Commission</w:t>
            </w:r>
          </w:p>
        </w:tc>
        <w:tc>
          <w:tcPr>
            <w:tcW w:w="4876" w:type="dxa"/>
            <w:hideMark/>
          </w:tcPr>
          <w:p w14:paraId="7A3B7BB3" w14:textId="77777777" w:rsidR="003F1540" w:rsidRPr="00E632E2" w:rsidRDefault="003F1540">
            <w:pPr>
              <w:pStyle w:val="ColumnHeading"/>
              <w:keepNext/>
            </w:pPr>
            <w:r w:rsidRPr="00E632E2">
              <w:t>Amendment</w:t>
            </w:r>
          </w:p>
        </w:tc>
      </w:tr>
      <w:tr w:rsidR="003F1540" w:rsidRPr="00E632E2" w14:paraId="3F19F48F" w14:textId="77777777" w:rsidTr="003F1540">
        <w:trPr>
          <w:jc w:val="center"/>
        </w:trPr>
        <w:tc>
          <w:tcPr>
            <w:tcW w:w="4876" w:type="dxa"/>
            <w:hideMark/>
          </w:tcPr>
          <w:p w14:paraId="0628E83A" w14:textId="77777777" w:rsidR="003F1540" w:rsidRPr="00E632E2" w:rsidRDefault="003F1540">
            <w:pPr>
              <w:pStyle w:val="Normal6"/>
            </w:pPr>
            <w:r w:rsidRPr="00E632E2">
              <w:t>(c)</w:t>
            </w:r>
            <w:r w:rsidRPr="00E632E2">
              <w:tab/>
              <w:t xml:space="preserve">the method for the calculation of </w:t>
            </w:r>
            <w:r w:rsidRPr="00E632E2">
              <w:rPr>
                <w:b/>
                <w:i/>
              </w:rPr>
              <w:t>carbon emissions and carbon savings</w:t>
            </w:r>
            <w:r w:rsidRPr="00E632E2">
              <w:t xml:space="preserve"> associated with the </w:t>
            </w:r>
            <w:r w:rsidRPr="00E632E2">
              <w:rPr>
                <w:b/>
                <w:i/>
              </w:rPr>
              <w:t>underlying</w:t>
            </w:r>
            <w:r w:rsidRPr="00E632E2">
              <w:t xml:space="preserve"> assets.</w:t>
            </w:r>
          </w:p>
        </w:tc>
        <w:tc>
          <w:tcPr>
            <w:tcW w:w="4876" w:type="dxa"/>
            <w:hideMark/>
          </w:tcPr>
          <w:p w14:paraId="6A61A593" w14:textId="0135A668" w:rsidR="003F1540" w:rsidRPr="00E632E2" w:rsidRDefault="003F1540" w:rsidP="00F43ABE">
            <w:pPr>
              <w:pStyle w:val="Normal6"/>
              <w:rPr>
                <w:szCs w:val="24"/>
              </w:rPr>
            </w:pPr>
            <w:r w:rsidRPr="00E632E2">
              <w:t>(c)</w:t>
            </w:r>
            <w:r w:rsidRPr="00E632E2">
              <w:tab/>
              <w:t xml:space="preserve">the </w:t>
            </w:r>
            <w:r w:rsidRPr="00E632E2">
              <w:rPr>
                <w:b/>
                <w:i/>
              </w:rPr>
              <w:t>science based</w:t>
            </w:r>
            <w:r w:rsidRPr="00E632E2">
              <w:t xml:space="preserve"> method for the calculation of </w:t>
            </w:r>
            <w:r w:rsidRPr="00E632E2">
              <w:rPr>
                <w:b/>
                <w:i/>
              </w:rPr>
              <w:t xml:space="preserve">the climate contribution to the commitments of the Paris </w:t>
            </w:r>
            <w:r w:rsidR="00827092" w:rsidRPr="00E632E2">
              <w:rPr>
                <w:b/>
                <w:i/>
              </w:rPr>
              <w:t xml:space="preserve">Climate </w:t>
            </w:r>
            <w:r w:rsidRPr="00E632E2">
              <w:rPr>
                <w:b/>
                <w:i/>
              </w:rPr>
              <w:t>Agreement as implemented in U</w:t>
            </w:r>
            <w:r w:rsidR="00F43ABE" w:rsidRPr="00E632E2">
              <w:rPr>
                <w:b/>
                <w:i/>
              </w:rPr>
              <w:t>nion</w:t>
            </w:r>
            <w:r w:rsidRPr="00E632E2">
              <w:rPr>
                <w:b/>
                <w:i/>
              </w:rPr>
              <w:t xml:space="preserve"> l</w:t>
            </w:r>
            <w:r w:rsidR="00F43ABE" w:rsidRPr="00E632E2">
              <w:rPr>
                <w:b/>
                <w:i/>
              </w:rPr>
              <w:t>aw</w:t>
            </w:r>
            <w:r w:rsidRPr="00E632E2">
              <w:rPr>
                <w:b/>
                <w:i/>
              </w:rPr>
              <w:t>,</w:t>
            </w:r>
            <w:r w:rsidRPr="00E632E2">
              <w:t xml:space="preserve"> associated with the </w:t>
            </w:r>
            <w:r w:rsidRPr="00E632E2">
              <w:rPr>
                <w:b/>
                <w:i/>
              </w:rPr>
              <w:t>underlining</w:t>
            </w:r>
            <w:r w:rsidRPr="00E632E2">
              <w:t xml:space="preserve"> assets </w:t>
            </w:r>
            <w:r w:rsidRPr="00E632E2">
              <w:rPr>
                <w:b/>
                <w:i/>
              </w:rPr>
              <w:t xml:space="preserve">and </w:t>
            </w:r>
            <w:r w:rsidRPr="00E632E2">
              <w:rPr>
                <w:b/>
                <w:i/>
              </w:rPr>
              <w:lastRenderedPageBreak/>
              <w:t>the relevant evidence to claim such benefits, including where relevant the climate scenario used and the assumptions of the scenario</w:t>
            </w:r>
            <w:r w:rsidRPr="00E632E2">
              <w:t>.</w:t>
            </w:r>
          </w:p>
        </w:tc>
      </w:tr>
    </w:tbl>
    <w:p w14:paraId="61C7EAF6" w14:textId="77777777" w:rsidR="003F1540" w:rsidRPr="00E632E2" w:rsidRDefault="003F1540" w:rsidP="003F1540">
      <w:pPr>
        <w:pStyle w:val="Olang"/>
        <w:rPr>
          <w:noProof w:val="0"/>
          <w:szCs w:val="24"/>
        </w:rPr>
      </w:pPr>
      <w:r w:rsidRPr="00E632E2">
        <w:rPr>
          <w:noProof w:val="0"/>
          <w:szCs w:val="24"/>
        </w:rPr>
        <w:lastRenderedPageBreak/>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4D8DD77A" w14:textId="77777777" w:rsidR="003F1540" w:rsidRPr="00E632E2" w:rsidRDefault="003F1540" w:rsidP="003F1540">
      <w:pPr>
        <w:rPr>
          <w:szCs w:val="24"/>
        </w:rPr>
      </w:pPr>
      <w:r w:rsidRPr="00E632E2">
        <w:rPr>
          <w:rStyle w:val="HideTWBExt"/>
          <w:noProof w:val="0"/>
        </w:rPr>
        <w:t>&lt;/Amend&gt;</w:t>
      </w:r>
    </w:p>
    <w:p w14:paraId="559043AD" w14:textId="023D9204"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17</w:t>
      </w:r>
      <w:r w:rsidRPr="00E632E2">
        <w:rPr>
          <w:rStyle w:val="HideTWBExt"/>
          <w:b w:val="0"/>
          <w:noProof w:val="0"/>
        </w:rPr>
        <w:t>&lt;/NumAm&gt;</w:t>
      </w:r>
    </w:p>
    <w:p w14:paraId="1A813451"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69C0D38D" w14:textId="77777777" w:rsidR="003F1540" w:rsidRPr="00E632E2" w:rsidRDefault="003F1540" w:rsidP="003F1540">
      <w:pPr>
        <w:pStyle w:val="NormalBold"/>
      </w:pPr>
      <w:r w:rsidRPr="00E632E2">
        <w:rPr>
          <w:rStyle w:val="HideTWBExt"/>
          <w:b w:val="0"/>
          <w:noProof w:val="0"/>
        </w:rPr>
        <w:t>&lt;Article&gt;</w:t>
      </w:r>
      <w:r w:rsidRPr="00E632E2">
        <w:t>Article 1 – paragraph 1 – point 4</w:t>
      </w:r>
      <w:r w:rsidRPr="00E632E2">
        <w:rPr>
          <w:rStyle w:val="HideTWBExt"/>
          <w:b w:val="0"/>
          <w:noProof w:val="0"/>
        </w:rPr>
        <w:t>&lt;/Article&gt;</w:t>
      </w:r>
    </w:p>
    <w:p w14:paraId="2580B70B" w14:textId="77777777" w:rsidR="003F1540" w:rsidRPr="00E632E2" w:rsidRDefault="003F1540" w:rsidP="003F1540">
      <w:pPr>
        <w:keepNext/>
      </w:pPr>
      <w:r w:rsidRPr="00E632E2">
        <w:rPr>
          <w:rStyle w:val="HideTWBExt"/>
          <w:noProof w:val="0"/>
        </w:rPr>
        <w:t>&lt;DocAmend2&gt;</w:t>
      </w:r>
      <w:r w:rsidR="007E37CB" w:rsidRPr="00E632E2">
        <w:t>Regulation (EU) 2016/1011</w:t>
      </w:r>
      <w:r w:rsidRPr="00E632E2">
        <w:rPr>
          <w:rStyle w:val="HideTWBExt"/>
          <w:noProof w:val="0"/>
        </w:rPr>
        <w:t>&lt;/DocAmend2&gt;</w:t>
      </w:r>
    </w:p>
    <w:p w14:paraId="55FAED46" w14:textId="77777777" w:rsidR="003F1540" w:rsidRPr="00E632E2" w:rsidRDefault="003F1540" w:rsidP="003F1540">
      <w:r w:rsidRPr="00E632E2">
        <w:rPr>
          <w:rStyle w:val="HideTWBExt"/>
          <w:noProof w:val="0"/>
        </w:rPr>
        <w:t>&lt;Article2&gt;</w:t>
      </w:r>
      <w:r w:rsidR="007E37CB" w:rsidRPr="00E632E2">
        <w:t>Article 27 – paragraph 2a</w:t>
      </w:r>
      <w:r w:rsidRPr="00E632E2">
        <w:rPr>
          <w:rStyle w:val="HideTWBExt"/>
          <w:noProof w:val="0"/>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7EF49EAF" w14:textId="77777777" w:rsidTr="003F1540">
        <w:trPr>
          <w:jc w:val="center"/>
        </w:trPr>
        <w:tc>
          <w:tcPr>
            <w:tcW w:w="9752" w:type="dxa"/>
            <w:gridSpan w:val="2"/>
          </w:tcPr>
          <w:p w14:paraId="166D6CD3" w14:textId="77777777" w:rsidR="003F1540" w:rsidRPr="00E632E2" w:rsidRDefault="003F1540">
            <w:pPr>
              <w:keepNext/>
            </w:pPr>
          </w:p>
        </w:tc>
      </w:tr>
      <w:tr w:rsidR="003F1540" w:rsidRPr="00E632E2" w14:paraId="6A14E6ED" w14:textId="77777777" w:rsidTr="003F1540">
        <w:trPr>
          <w:jc w:val="center"/>
        </w:trPr>
        <w:tc>
          <w:tcPr>
            <w:tcW w:w="4876" w:type="dxa"/>
            <w:hideMark/>
          </w:tcPr>
          <w:p w14:paraId="09789D15" w14:textId="77777777" w:rsidR="003F1540" w:rsidRPr="00E632E2" w:rsidRDefault="003F1540">
            <w:pPr>
              <w:pStyle w:val="ColumnHeading"/>
              <w:keepNext/>
            </w:pPr>
            <w:r w:rsidRPr="00E632E2">
              <w:t>Text proposed by the Commission</w:t>
            </w:r>
          </w:p>
        </w:tc>
        <w:tc>
          <w:tcPr>
            <w:tcW w:w="4876" w:type="dxa"/>
            <w:hideMark/>
          </w:tcPr>
          <w:p w14:paraId="732EEBB1" w14:textId="77777777" w:rsidR="003F1540" w:rsidRPr="00E632E2" w:rsidRDefault="003F1540">
            <w:pPr>
              <w:pStyle w:val="ColumnHeading"/>
              <w:keepNext/>
            </w:pPr>
            <w:r w:rsidRPr="00E632E2">
              <w:t>Amendment</w:t>
            </w:r>
          </w:p>
        </w:tc>
      </w:tr>
      <w:tr w:rsidR="003F1540" w:rsidRPr="00E632E2" w14:paraId="0C6C46C2" w14:textId="77777777" w:rsidTr="003F1540">
        <w:trPr>
          <w:jc w:val="center"/>
        </w:trPr>
        <w:tc>
          <w:tcPr>
            <w:tcW w:w="4876" w:type="dxa"/>
            <w:hideMark/>
          </w:tcPr>
          <w:p w14:paraId="3EEBF53A" w14:textId="77777777" w:rsidR="003F1540" w:rsidRPr="00E632E2" w:rsidRDefault="003F1540">
            <w:pPr>
              <w:pStyle w:val="Normal6"/>
            </w:pPr>
            <w:r w:rsidRPr="00E632E2">
              <w:t>2a.</w:t>
            </w:r>
            <w:r w:rsidRPr="00E632E2">
              <w:tab/>
              <w:t xml:space="preserve">For each requirement in paragraph 2, a benchmark statement shall contain an explanation of how environmental, social and governance factors are reflected for each benchmark or family of benchmarks provided and published </w:t>
            </w:r>
            <w:r w:rsidRPr="00E632E2">
              <w:rPr>
                <w:b/>
                <w:i/>
              </w:rPr>
              <w:t>which pursue or take into account ESG objectives</w:t>
            </w:r>
            <w:r w:rsidRPr="00E632E2">
              <w:t>.</w:t>
            </w:r>
          </w:p>
        </w:tc>
        <w:tc>
          <w:tcPr>
            <w:tcW w:w="4876" w:type="dxa"/>
            <w:hideMark/>
          </w:tcPr>
          <w:p w14:paraId="7D2B97D2" w14:textId="0DD920DA" w:rsidR="003F1540" w:rsidRPr="00E632E2" w:rsidRDefault="003F1540" w:rsidP="00863C0E">
            <w:pPr>
              <w:pStyle w:val="Normal6"/>
              <w:rPr>
                <w:szCs w:val="24"/>
              </w:rPr>
            </w:pPr>
            <w:r w:rsidRPr="00E632E2">
              <w:t>2a.</w:t>
            </w:r>
            <w:r w:rsidRPr="00E632E2">
              <w:tab/>
            </w:r>
            <w:r w:rsidRPr="00E632E2">
              <w:rPr>
                <w:b/>
                <w:i/>
              </w:rPr>
              <w:t>To enable market players to make well-informed choices</w:t>
            </w:r>
            <w:r w:rsidR="00863C0E" w:rsidRPr="00E632E2">
              <w:rPr>
                <w:b/>
                <w:i/>
              </w:rPr>
              <w:t xml:space="preserve"> t</w:t>
            </w:r>
            <w:r w:rsidR="00A5220C" w:rsidRPr="00E632E2">
              <w:rPr>
                <w:b/>
                <w:i/>
              </w:rPr>
              <w:t xml:space="preserve">he Commission is empowered to adopt delegated acts in accordance with Article 49 concerning </w:t>
            </w:r>
            <w:r w:rsidRPr="00E632E2">
              <w:rPr>
                <w:b/>
                <w:i/>
              </w:rPr>
              <w:t>a methodology to measure the social and governance impact of investments and financial products to be applied by benchmark providers in their benchmarks by 2022. From that moment on,</w:t>
            </w:r>
            <w:r w:rsidRPr="00E632E2">
              <w:t xml:space="preserve"> for each requirement in paragraph 2, a benchmark statement shall contain an explanation of how environmental, social and governance factors are reflected for each benchmark or family of benchmarks provided and </w:t>
            </w:r>
            <w:r w:rsidR="007E37CB" w:rsidRPr="00E632E2">
              <w:t>published.</w:t>
            </w:r>
            <w:r w:rsidR="00A5220C" w:rsidRPr="00E632E2">
              <w:t xml:space="preserve"> </w:t>
            </w:r>
          </w:p>
        </w:tc>
      </w:tr>
    </w:tbl>
    <w:p w14:paraId="30E33082"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16C8AF44" w14:textId="77777777" w:rsidR="003F1540" w:rsidRPr="00E632E2" w:rsidRDefault="003F1540" w:rsidP="003F1540">
      <w:pPr>
        <w:rPr>
          <w:szCs w:val="24"/>
        </w:rPr>
      </w:pPr>
      <w:r w:rsidRPr="00E632E2">
        <w:rPr>
          <w:rStyle w:val="HideTWBExt"/>
          <w:noProof w:val="0"/>
        </w:rPr>
        <w:t>&lt;/Amend&gt;</w:t>
      </w:r>
    </w:p>
    <w:p w14:paraId="2BF8747C" w14:textId="5DCDF6D7"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18</w:t>
      </w:r>
      <w:r w:rsidRPr="00E632E2">
        <w:rPr>
          <w:rStyle w:val="HideTWBExt"/>
          <w:b w:val="0"/>
          <w:noProof w:val="0"/>
        </w:rPr>
        <w:t>&lt;/NumAm&gt;</w:t>
      </w:r>
    </w:p>
    <w:p w14:paraId="75997609"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1B5231EE" w14:textId="77777777" w:rsidR="003F1540" w:rsidRPr="00E632E2" w:rsidRDefault="003F1540" w:rsidP="003F1540">
      <w:pPr>
        <w:pStyle w:val="NormalBold"/>
      </w:pPr>
      <w:r w:rsidRPr="00E632E2">
        <w:rPr>
          <w:rStyle w:val="HideTWBExt"/>
          <w:b w:val="0"/>
          <w:noProof w:val="0"/>
        </w:rPr>
        <w:t>&lt;Article&gt;</w:t>
      </w:r>
      <w:r w:rsidRPr="00E632E2">
        <w:t>Article 1 – paragraph 1 – point 4</w:t>
      </w:r>
      <w:r w:rsidR="00B5353D" w:rsidRPr="00E632E2">
        <w:t xml:space="preserve"> a (new)</w:t>
      </w:r>
      <w:r w:rsidRPr="00E632E2">
        <w:rPr>
          <w:rStyle w:val="HideTWBExt"/>
          <w:b w:val="0"/>
          <w:noProof w:val="0"/>
        </w:rPr>
        <w:t>&lt;/Article&gt;</w:t>
      </w:r>
    </w:p>
    <w:p w14:paraId="3B523846" w14:textId="77777777" w:rsidR="003F1540" w:rsidRPr="00E632E2" w:rsidRDefault="003F1540" w:rsidP="003F1540">
      <w:pPr>
        <w:keepNext/>
      </w:pPr>
      <w:r w:rsidRPr="00E632E2">
        <w:rPr>
          <w:rStyle w:val="HideTWBExt"/>
          <w:noProof w:val="0"/>
        </w:rPr>
        <w:t>&lt;DocAmend2&gt;</w:t>
      </w:r>
      <w:r w:rsidR="007E37CB" w:rsidRPr="00E632E2">
        <w:t>Regulation (EU) 2016/1011</w:t>
      </w:r>
      <w:r w:rsidRPr="00E632E2">
        <w:rPr>
          <w:rStyle w:val="HideTWBExt"/>
          <w:noProof w:val="0"/>
        </w:rPr>
        <w:t>&lt;/DocAmend2&gt;</w:t>
      </w:r>
    </w:p>
    <w:p w14:paraId="5C45B3D7" w14:textId="41837BAC" w:rsidR="003F1540" w:rsidRPr="00E632E2" w:rsidRDefault="003F1540" w:rsidP="003F1540">
      <w:pPr>
        <w:rPr>
          <w:lang w:val="fr-FR"/>
        </w:rPr>
      </w:pPr>
      <w:r w:rsidRPr="00E632E2">
        <w:rPr>
          <w:rStyle w:val="HideTWBExt"/>
          <w:noProof w:val="0"/>
          <w:lang w:val="fr-FR"/>
        </w:rPr>
        <w:t>&lt;Article2&gt;</w:t>
      </w:r>
      <w:r w:rsidR="007E37CB" w:rsidRPr="00E632E2">
        <w:rPr>
          <w:lang w:val="fr-FR"/>
        </w:rPr>
        <w:t>Article 27 – paragraph 2</w:t>
      </w:r>
      <w:r w:rsidR="00B5353D" w:rsidRPr="00E632E2">
        <w:rPr>
          <w:lang w:val="fr-FR"/>
        </w:rPr>
        <w:t xml:space="preserve"> c</w:t>
      </w:r>
      <w:r w:rsidR="007E37CB" w:rsidRPr="00E632E2">
        <w:rPr>
          <w:lang w:val="fr-FR"/>
        </w:rPr>
        <w:t xml:space="preserve"> (new)</w:t>
      </w:r>
      <w:r w:rsidRPr="00E632E2">
        <w:rPr>
          <w:rStyle w:val="HideTWBExt"/>
          <w:noProof w:val="0"/>
          <w:lang w:val="fr-FR"/>
        </w:rPr>
        <w:t>&lt;/Article2&gt;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1F335662" w14:textId="77777777" w:rsidTr="003F1540">
        <w:trPr>
          <w:jc w:val="center"/>
        </w:trPr>
        <w:tc>
          <w:tcPr>
            <w:tcW w:w="9752" w:type="dxa"/>
            <w:gridSpan w:val="2"/>
          </w:tcPr>
          <w:p w14:paraId="791113D9" w14:textId="77777777" w:rsidR="003F1540" w:rsidRPr="00E632E2" w:rsidRDefault="003F1540">
            <w:pPr>
              <w:keepNext/>
              <w:rPr>
                <w:lang w:val="fr-FR"/>
              </w:rPr>
            </w:pPr>
          </w:p>
        </w:tc>
      </w:tr>
      <w:tr w:rsidR="003F1540" w:rsidRPr="00E632E2" w14:paraId="3966A8F5" w14:textId="77777777" w:rsidTr="003F1540">
        <w:trPr>
          <w:jc w:val="center"/>
        </w:trPr>
        <w:tc>
          <w:tcPr>
            <w:tcW w:w="4876" w:type="dxa"/>
            <w:hideMark/>
          </w:tcPr>
          <w:p w14:paraId="0F85AC78" w14:textId="77777777" w:rsidR="003F1540" w:rsidRPr="00E632E2" w:rsidRDefault="003F1540">
            <w:pPr>
              <w:pStyle w:val="ColumnHeading"/>
              <w:keepNext/>
            </w:pPr>
            <w:r w:rsidRPr="00E632E2">
              <w:t>Text proposed by the Commission</w:t>
            </w:r>
          </w:p>
        </w:tc>
        <w:tc>
          <w:tcPr>
            <w:tcW w:w="4876" w:type="dxa"/>
            <w:hideMark/>
          </w:tcPr>
          <w:p w14:paraId="16363A48" w14:textId="77777777" w:rsidR="003F1540" w:rsidRPr="00E632E2" w:rsidRDefault="003F1540">
            <w:pPr>
              <w:pStyle w:val="ColumnHeading"/>
              <w:keepNext/>
            </w:pPr>
            <w:r w:rsidRPr="00E632E2">
              <w:t>Amendment</w:t>
            </w:r>
          </w:p>
        </w:tc>
      </w:tr>
      <w:tr w:rsidR="00B5353D" w:rsidRPr="00E632E2" w14:paraId="6AAC7E4C" w14:textId="77777777" w:rsidTr="003F1540">
        <w:trPr>
          <w:jc w:val="center"/>
        </w:trPr>
        <w:tc>
          <w:tcPr>
            <w:tcW w:w="4876" w:type="dxa"/>
          </w:tcPr>
          <w:p w14:paraId="326C9FD0" w14:textId="77777777" w:rsidR="00B5353D" w:rsidRPr="00E632E2" w:rsidRDefault="00B5353D">
            <w:pPr>
              <w:pStyle w:val="Normal6"/>
            </w:pPr>
          </w:p>
        </w:tc>
        <w:tc>
          <w:tcPr>
            <w:tcW w:w="4876" w:type="dxa"/>
          </w:tcPr>
          <w:p w14:paraId="0C3BBC1E" w14:textId="76AD4E30" w:rsidR="00B5353D" w:rsidRPr="00E632E2" w:rsidRDefault="00B5353D" w:rsidP="008238A3">
            <w:pPr>
              <w:pStyle w:val="Normal6"/>
              <w:rPr>
                <w:b/>
                <w:i/>
              </w:rPr>
            </w:pPr>
            <w:r w:rsidRPr="00E632E2">
              <w:rPr>
                <w:b/>
                <w:i/>
              </w:rPr>
              <w:t>4a.</w:t>
            </w:r>
            <w:r w:rsidR="00A5220C" w:rsidRPr="00E632E2">
              <w:rPr>
                <w:b/>
                <w:i/>
              </w:rPr>
              <w:t xml:space="preserve"> T</w:t>
            </w:r>
            <w:r w:rsidRPr="00E632E2">
              <w:rPr>
                <w:b/>
                <w:i/>
              </w:rPr>
              <w:t>he following paragraph is inserted:</w:t>
            </w:r>
          </w:p>
        </w:tc>
      </w:tr>
      <w:tr w:rsidR="003F1540" w:rsidRPr="00E632E2" w14:paraId="541A6345" w14:textId="77777777" w:rsidTr="003F1540">
        <w:trPr>
          <w:jc w:val="center"/>
        </w:trPr>
        <w:tc>
          <w:tcPr>
            <w:tcW w:w="4876" w:type="dxa"/>
          </w:tcPr>
          <w:p w14:paraId="76761AAC" w14:textId="77777777" w:rsidR="003F1540" w:rsidRPr="00E632E2" w:rsidRDefault="003F1540">
            <w:pPr>
              <w:pStyle w:val="Normal6"/>
            </w:pPr>
          </w:p>
        </w:tc>
        <w:tc>
          <w:tcPr>
            <w:tcW w:w="4876" w:type="dxa"/>
            <w:hideMark/>
          </w:tcPr>
          <w:p w14:paraId="2BEA3C5C" w14:textId="0126D4E4" w:rsidR="003F1540" w:rsidRPr="00E632E2" w:rsidRDefault="00FC1BD5" w:rsidP="00A116ED">
            <w:pPr>
              <w:pStyle w:val="Normal6"/>
              <w:rPr>
                <w:szCs w:val="24"/>
              </w:rPr>
            </w:pPr>
            <w:r w:rsidRPr="00E632E2">
              <w:rPr>
                <w:b/>
                <w:i/>
              </w:rPr>
              <w:t>‘</w:t>
            </w:r>
            <w:r w:rsidR="003F1540" w:rsidRPr="00E632E2">
              <w:rPr>
                <w:b/>
                <w:i/>
              </w:rPr>
              <w:t>2</w:t>
            </w:r>
            <w:r w:rsidR="00B5353D" w:rsidRPr="00E632E2">
              <w:rPr>
                <w:b/>
                <w:i/>
              </w:rPr>
              <w:t>c</w:t>
            </w:r>
            <w:r w:rsidR="003F1540" w:rsidRPr="00E632E2">
              <w:rPr>
                <w:b/>
                <w:i/>
              </w:rPr>
              <w:t>.</w:t>
            </w:r>
            <w:r w:rsidR="003F1540" w:rsidRPr="00E632E2">
              <w:rPr>
                <w:b/>
                <w:i/>
              </w:rPr>
              <w:tab/>
              <w:t xml:space="preserve">Against the background of technological innovation at a very rapid pace, it is crucial that the Commission investigates whether the benchmark sector is sufficiently competitive and will adopt, if appropriate, measures to boost the competitiveness of the sector. </w:t>
            </w:r>
            <w:r w:rsidR="00F43ABE" w:rsidRPr="00E632E2">
              <w:rPr>
                <w:b/>
                <w:i/>
              </w:rPr>
              <w:t>By ...[t</w:t>
            </w:r>
            <w:r w:rsidR="003F1540" w:rsidRPr="00E632E2">
              <w:rPr>
                <w:b/>
                <w:i/>
              </w:rPr>
              <w:t xml:space="preserve">wo years after the entry into force of this </w:t>
            </w:r>
            <w:r w:rsidR="00A116ED" w:rsidRPr="00E632E2">
              <w:rPr>
                <w:b/>
                <w:i/>
              </w:rPr>
              <w:t>Regulation]</w:t>
            </w:r>
            <w:r w:rsidR="003F1540" w:rsidRPr="00E632E2">
              <w:rPr>
                <w:b/>
                <w:i/>
              </w:rPr>
              <w:t xml:space="preserve">, the </w:t>
            </w:r>
            <w:r w:rsidR="00F43ABE" w:rsidRPr="00E632E2">
              <w:rPr>
                <w:b/>
                <w:i/>
              </w:rPr>
              <w:t>European Supervisory Authority (</w:t>
            </w:r>
            <w:r w:rsidR="003F1540" w:rsidRPr="00E632E2">
              <w:rPr>
                <w:b/>
                <w:i/>
              </w:rPr>
              <w:t>European Securities and Markets Authority</w:t>
            </w:r>
            <w:r w:rsidR="00F43ABE" w:rsidRPr="00E632E2">
              <w:rPr>
                <w:b/>
                <w:i/>
              </w:rPr>
              <w:t>)</w:t>
            </w:r>
            <w:r w:rsidR="003F1540" w:rsidRPr="00E632E2">
              <w:rPr>
                <w:b/>
                <w:i/>
              </w:rPr>
              <w:t xml:space="preserve"> in cooperation with national competent authorities, </w:t>
            </w:r>
            <w:r w:rsidR="00A116ED" w:rsidRPr="00E632E2">
              <w:rPr>
                <w:b/>
                <w:i/>
              </w:rPr>
              <w:t xml:space="preserve">shall </w:t>
            </w:r>
            <w:r w:rsidR="003F1540" w:rsidRPr="00E632E2">
              <w:rPr>
                <w:b/>
                <w:i/>
              </w:rPr>
              <w:t xml:space="preserve">produce a report analysing whether fees are totally transparent, non-discriminative and based on actual costs. Based on the findings of </w:t>
            </w:r>
            <w:r w:rsidR="00A116ED" w:rsidRPr="00E632E2">
              <w:rPr>
                <w:b/>
                <w:i/>
              </w:rPr>
              <w:t xml:space="preserve">that </w:t>
            </w:r>
            <w:r w:rsidR="003F1540" w:rsidRPr="00E632E2">
              <w:rPr>
                <w:b/>
                <w:i/>
              </w:rPr>
              <w:t>report, the Commission will be empowered to adopt a delegated act outlining criteria to ensure fees charged by benchmark providers to their clients for the provision of benchmarks are totally transparent, impartial and based on actual costs.</w:t>
            </w:r>
            <w:r w:rsidRPr="00E632E2">
              <w:rPr>
                <w:b/>
                <w:i/>
              </w:rPr>
              <w:t>’</w:t>
            </w:r>
          </w:p>
        </w:tc>
      </w:tr>
    </w:tbl>
    <w:p w14:paraId="135F43B5"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48B530F9" w14:textId="77777777" w:rsidR="003F1540" w:rsidRPr="00E632E2" w:rsidRDefault="003F1540" w:rsidP="003F1540">
      <w:pPr>
        <w:rPr>
          <w:szCs w:val="24"/>
        </w:rPr>
      </w:pPr>
      <w:r w:rsidRPr="00E632E2">
        <w:rPr>
          <w:rStyle w:val="HideTWBExt"/>
          <w:noProof w:val="0"/>
        </w:rPr>
        <w:t>&lt;/Amend&gt;</w:t>
      </w:r>
    </w:p>
    <w:p w14:paraId="6A249F77" w14:textId="49C1E5FA"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19</w:t>
      </w:r>
      <w:r w:rsidRPr="00E632E2">
        <w:rPr>
          <w:rStyle w:val="HideTWBExt"/>
          <w:b w:val="0"/>
          <w:noProof w:val="0"/>
        </w:rPr>
        <w:t>&lt;/NumAm&gt;</w:t>
      </w:r>
    </w:p>
    <w:p w14:paraId="1A067E5C"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062A5901" w14:textId="0C1CB966" w:rsidR="003F1540" w:rsidRPr="00E1116C" w:rsidRDefault="003F1540" w:rsidP="003F1540">
      <w:pPr>
        <w:pStyle w:val="NormalBold"/>
        <w:rPr>
          <w:lang w:val="fr-FR"/>
        </w:rPr>
      </w:pPr>
      <w:r w:rsidRPr="00E1116C">
        <w:rPr>
          <w:rStyle w:val="HideTWBExt"/>
          <w:b w:val="0"/>
          <w:noProof w:val="0"/>
          <w:lang w:val="fr-FR"/>
        </w:rPr>
        <w:t>&lt;Article&gt;</w:t>
      </w:r>
      <w:r w:rsidRPr="00E1116C">
        <w:rPr>
          <w:lang w:val="fr-FR"/>
        </w:rPr>
        <w:t>Article 1 – paragraph 1 – point 4</w:t>
      </w:r>
      <w:r w:rsidR="00E1116C" w:rsidRPr="00E1116C">
        <w:rPr>
          <w:lang w:val="fr-FR"/>
        </w:rPr>
        <w:t xml:space="preserve"> b (new)</w:t>
      </w:r>
      <w:r w:rsidRPr="00E1116C">
        <w:rPr>
          <w:rStyle w:val="HideTWBExt"/>
          <w:b w:val="0"/>
          <w:noProof w:val="0"/>
          <w:lang w:val="fr-FR"/>
        </w:rPr>
        <w:t>&lt;/Article&gt;</w:t>
      </w:r>
    </w:p>
    <w:p w14:paraId="21A53D14" w14:textId="77777777" w:rsidR="003F1540" w:rsidRPr="00E632E2" w:rsidRDefault="003F1540" w:rsidP="003F1540">
      <w:pPr>
        <w:keepNext/>
      </w:pPr>
      <w:r w:rsidRPr="00E632E2">
        <w:rPr>
          <w:rStyle w:val="HideTWBExt"/>
          <w:noProof w:val="0"/>
        </w:rPr>
        <w:t>&lt;DocAmend2&gt;</w:t>
      </w:r>
      <w:r w:rsidR="007E37CB" w:rsidRPr="00E632E2">
        <w:t>Regulation (EU) 2016/1011</w:t>
      </w:r>
      <w:r w:rsidRPr="00E632E2">
        <w:rPr>
          <w:rStyle w:val="HideTWBExt"/>
          <w:noProof w:val="0"/>
        </w:rPr>
        <w:t>&lt;/DocAmend2&gt;</w:t>
      </w:r>
    </w:p>
    <w:p w14:paraId="5B24E734" w14:textId="2EA075AC" w:rsidR="003F1540" w:rsidRPr="00E1116C" w:rsidRDefault="003F1540" w:rsidP="003F1540">
      <w:pPr>
        <w:rPr>
          <w:lang w:val="fr-FR"/>
        </w:rPr>
      </w:pPr>
      <w:r w:rsidRPr="00E1116C">
        <w:rPr>
          <w:rStyle w:val="HideTWBExt"/>
          <w:noProof w:val="0"/>
          <w:lang w:val="fr-FR"/>
        </w:rPr>
        <w:t>&lt;Article2&gt;</w:t>
      </w:r>
      <w:r w:rsidR="007E37CB" w:rsidRPr="00E1116C">
        <w:rPr>
          <w:lang w:val="fr-FR"/>
        </w:rPr>
        <w:t>Article 27 – paragraph 2</w:t>
      </w:r>
      <w:r w:rsidR="00B5353D" w:rsidRPr="00E1116C">
        <w:rPr>
          <w:lang w:val="fr-FR"/>
        </w:rPr>
        <w:t xml:space="preserve"> d</w:t>
      </w:r>
      <w:r w:rsidR="007E37CB" w:rsidRPr="00E1116C">
        <w:rPr>
          <w:lang w:val="fr-FR"/>
        </w:rPr>
        <w:t xml:space="preserve"> (new)</w:t>
      </w:r>
      <w:r w:rsidRPr="00E1116C">
        <w:rPr>
          <w:rStyle w:val="HideTWBExt"/>
          <w:noProof w:val="0"/>
          <w:lang w:val="fr-FR"/>
        </w:rPr>
        <w:t>&lt;/Article2&gt;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F1540" w:rsidRPr="00E1116C" w14:paraId="2CD7A454" w14:textId="77777777" w:rsidTr="00B5353D">
        <w:trPr>
          <w:jc w:val="center"/>
        </w:trPr>
        <w:tc>
          <w:tcPr>
            <w:tcW w:w="9752" w:type="dxa"/>
            <w:gridSpan w:val="2"/>
          </w:tcPr>
          <w:p w14:paraId="31C6A5E9" w14:textId="77777777" w:rsidR="003F1540" w:rsidRPr="00E1116C" w:rsidRDefault="003F1540">
            <w:pPr>
              <w:keepNext/>
              <w:rPr>
                <w:lang w:val="fr-FR"/>
              </w:rPr>
            </w:pPr>
          </w:p>
        </w:tc>
      </w:tr>
      <w:tr w:rsidR="003F1540" w:rsidRPr="00E632E2" w14:paraId="2E1CE897" w14:textId="77777777" w:rsidTr="00B5353D">
        <w:trPr>
          <w:jc w:val="center"/>
        </w:trPr>
        <w:tc>
          <w:tcPr>
            <w:tcW w:w="4876" w:type="dxa"/>
            <w:hideMark/>
          </w:tcPr>
          <w:p w14:paraId="67C7E555" w14:textId="77777777" w:rsidR="003F1540" w:rsidRPr="00E632E2" w:rsidRDefault="003F1540">
            <w:pPr>
              <w:pStyle w:val="ColumnHeading"/>
              <w:keepNext/>
            </w:pPr>
            <w:r w:rsidRPr="00E632E2">
              <w:t>Text proposed by the Commission</w:t>
            </w:r>
          </w:p>
        </w:tc>
        <w:tc>
          <w:tcPr>
            <w:tcW w:w="4876" w:type="dxa"/>
            <w:hideMark/>
          </w:tcPr>
          <w:p w14:paraId="7AB5DE45" w14:textId="77777777" w:rsidR="003F1540" w:rsidRPr="00E632E2" w:rsidRDefault="003F1540">
            <w:pPr>
              <w:pStyle w:val="ColumnHeading"/>
              <w:keepNext/>
            </w:pPr>
            <w:r w:rsidRPr="00E632E2">
              <w:t>Amendment</w:t>
            </w:r>
          </w:p>
        </w:tc>
      </w:tr>
      <w:tr w:rsidR="00B5353D" w:rsidRPr="00E632E2" w14:paraId="3E7B07E0" w14:textId="77777777" w:rsidTr="00B5353D">
        <w:trPr>
          <w:jc w:val="center"/>
        </w:trPr>
        <w:tc>
          <w:tcPr>
            <w:tcW w:w="4876" w:type="dxa"/>
          </w:tcPr>
          <w:p w14:paraId="2613B582" w14:textId="77777777" w:rsidR="00B5353D" w:rsidRPr="00E632E2" w:rsidRDefault="00B5353D" w:rsidP="00F739FB">
            <w:pPr>
              <w:pStyle w:val="Normal6"/>
            </w:pPr>
          </w:p>
        </w:tc>
        <w:tc>
          <w:tcPr>
            <w:tcW w:w="4876" w:type="dxa"/>
          </w:tcPr>
          <w:p w14:paraId="5D270F19" w14:textId="1160BD47" w:rsidR="00B5353D" w:rsidRPr="00E632E2" w:rsidRDefault="00B5353D" w:rsidP="00A5220C">
            <w:pPr>
              <w:pStyle w:val="Normal6"/>
              <w:rPr>
                <w:b/>
                <w:i/>
              </w:rPr>
            </w:pPr>
            <w:r w:rsidRPr="00E632E2">
              <w:rPr>
                <w:b/>
                <w:i/>
              </w:rPr>
              <w:t>4b.</w:t>
            </w:r>
            <w:r w:rsidRPr="00E632E2">
              <w:rPr>
                <w:b/>
                <w:i/>
              </w:rPr>
              <w:tab/>
            </w:r>
            <w:r w:rsidR="00A5220C" w:rsidRPr="00E632E2">
              <w:rPr>
                <w:b/>
                <w:i/>
              </w:rPr>
              <w:t>T</w:t>
            </w:r>
            <w:r w:rsidRPr="00E632E2">
              <w:rPr>
                <w:b/>
                <w:i/>
              </w:rPr>
              <w:t>he following paragraph  is inserted:</w:t>
            </w:r>
          </w:p>
        </w:tc>
      </w:tr>
      <w:tr w:rsidR="003F1540" w:rsidRPr="00E632E2" w14:paraId="614FEC42" w14:textId="77777777" w:rsidTr="00B5353D">
        <w:trPr>
          <w:jc w:val="center"/>
        </w:trPr>
        <w:tc>
          <w:tcPr>
            <w:tcW w:w="4876" w:type="dxa"/>
          </w:tcPr>
          <w:p w14:paraId="10E9F565" w14:textId="77777777" w:rsidR="003F1540" w:rsidRPr="00E632E2" w:rsidRDefault="003F1540">
            <w:pPr>
              <w:pStyle w:val="Normal6"/>
            </w:pPr>
          </w:p>
        </w:tc>
        <w:tc>
          <w:tcPr>
            <w:tcW w:w="4876" w:type="dxa"/>
            <w:hideMark/>
          </w:tcPr>
          <w:p w14:paraId="7A77CF12" w14:textId="17CA4F48" w:rsidR="00996EA7" w:rsidRPr="00E632E2" w:rsidRDefault="00FC1BD5" w:rsidP="002C6492">
            <w:pPr>
              <w:pStyle w:val="Normal6"/>
              <w:rPr>
                <w:szCs w:val="24"/>
              </w:rPr>
            </w:pPr>
            <w:r w:rsidRPr="00E632E2">
              <w:rPr>
                <w:b/>
                <w:i/>
              </w:rPr>
              <w:t>‘</w:t>
            </w:r>
            <w:r w:rsidR="003F1540" w:rsidRPr="00E632E2">
              <w:rPr>
                <w:b/>
                <w:i/>
              </w:rPr>
              <w:t>2</w:t>
            </w:r>
            <w:r w:rsidR="00B5353D" w:rsidRPr="00E632E2">
              <w:rPr>
                <w:b/>
                <w:i/>
              </w:rPr>
              <w:t>d</w:t>
            </w:r>
            <w:r w:rsidR="003F1540" w:rsidRPr="00E632E2">
              <w:rPr>
                <w:b/>
                <w:i/>
              </w:rPr>
              <w:t>.</w:t>
            </w:r>
            <w:r w:rsidR="003F1540" w:rsidRPr="00E632E2">
              <w:rPr>
                <w:b/>
                <w:i/>
              </w:rPr>
              <w:tab/>
              <w:t xml:space="preserve">With the rapid evolution in climate technology it is essential that new innovations are integrated by the Commission. By </w:t>
            </w:r>
            <w:r w:rsidR="00A116ED" w:rsidRPr="00E632E2">
              <w:rPr>
                <w:b/>
                <w:i/>
              </w:rPr>
              <w:t xml:space="preserve">31 December </w:t>
            </w:r>
            <w:r w:rsidR="003F1540" w:rsidRPr="00E632E2">
              <w:rPr>
                <w:b/>
                <w:i/>
              </w:rPr>
              <w:t>2023</w:t>
            </w:r>
            <w:r w:rsidR="00A116ED" w:rsidRPr="00E632E2">
              <w:rPr>
                <w:b/>
                <w:i/>
              </w:rPr>
              <w:t>,</w:t>
            </w:r>
            <w:r w:rsidR="003F1540" w:rsidRPr="00E632E2">
              <w:rPr>
                <w:b/>
                <w:i/>
              </w:rPr>
              <w:t xml:space="preserve"> the Commission will therefore review this regulation and publish a report analysing the impact of this new regulation and of new climate technology in view of making the financial benchmark sector aligned </w:t>
            </w:r>
            <w:r w:rsidR="003F1540" w:rsidRPr="00E632E2">
              <w:rPr>
                <w:b/>
                <w:i/>
              </w:rPr>
              <w:lastRenderedPageBreak/>
              <w:t xml:space="preserve">with the Paris </w:t>
            </w:r>
            <w:r w:rsidR="00827092" w:rsidRPr="00E632E2">
              <w:rPr>
                <w:b/>
                <w:i/>
              </w:rPr>
              <w:t>Climate A</w:t>
            </w:r>
            <w:r w:rsidR="003F1540" w:rsidRPr="00E632E2">
              <w:rPr>
                <w:b/>
                <w:i/>
              </w:rPr>
              <w:t>greement commitments as implemented in U</w:t>
            </w:r>
            <w:r w:rsidR="00A116ED" w:rsidRPr="00E632E2">
              <w:rPr>
                <w:b/>
                <w:i/>
              </w:rPr>
              <w:t>nion</w:t>
            </w:r>
            <w:r w:rsidR="003F1540" w:rsidRPr="00E632E2">
              <w:rPr>
                <w:b/>
                <w:i/>
              </w:rPr>
              <w:t xml:space="preserve"> l</w:t>
            </w:r>
            <w:r w:rsidR="00A116ED" w:rsidRPr="00E632E2">
              <w:rPr>
                <w:b/>
                <w:i/>
              </w:rPr>
              <w:t>aw</w:t>
            </w:r>
            <w:r w:rsidR="003F1540" w:rsidRPr="00E632E2">
              <w:rPr>
                <w:b/>
                <w:i/>
              </w:rPr>
              <w:t xml:space="preserve"> as well as with the requirements set </w:t>
            </w:r>
            <w:r w:rsidR="00A116ED" w:rsidRPr="00E632E2">
              <w:rPr>
                <w:b/>
                <w:i/>
              </w:rPr>
              <w:t xml:space="preserve">out </w:t>
            </w:r>
            <w:r w:rsidR="003F1540" w:rsidRPr="00E632E2">
              <w:rPr>
                <w:b/>
                <w:i/>
              </w:rPr>
              <w:t>in Regulation</w:t>
            </w:r>
            <w:r w:rsidR="00A116ED" w:rsidRPr="00E632E2">
              <w:rPr>
                <w:b/>
                <w:i/>
              </w:rPr>
              <w:t xml:space="preserve"> .../...</w:t>
            </w:r>
            <w:r w:rsidR="003F1540" w:rsidRPr="00E632E2">
              <w:rPr>
                <w:b/>
                <w:i/>
              </w:rPr>
              <w:t xml:space="preserve"> of the European Parliament and the European Council on the Governance of the Energy Union</w:t>
            </w:r>
            <w:r w:rsidR="00CF1449" w:rsidRPr="00E632E2">
              <w:rPr>
                <w:b/>
                <w:bCs/>
                <w:vertAlign w:val="superscript"/>
              </w:rPr>
              <w:t>* +</w:t>
            </w:r>
            <w:r w:rsidR="003F1540" w:rsidRPr="00E632E2">
              <w:rPr>
                <w:b/>
                <w:i/>
              </w:rPr>
              <w:t xml:space="preserve">, and amend, where appropriate, this </w:t>
            </w:r>
            <w:r w:rsidR="00A116ED" w:rsidRPr="00E632E2">
              <w:rPr>
                <w:b/>
                <w:i/>
              </w:rPr>
              <w:t>R</w:t>
            </w:r>
            <w:r w:rsidR="003F1540" w:rsidRPr="00E632E2">
              <w:rPr>
                <w:b/>
                <w:i/>
              </w:rPr>
              <w:t>egulation.</w:t>
            </w:r>
            <w:r w:rsidR="002C6492" w:rsidRPr="00E632E2">
              <w:rPr>
                <w:szCs w:val="24"/>
              </w:rPr>
              <w:t xml:space="preserve"> </w:t>
            </w:r>
          </w:p>
        </w:tc>
      </w:tr>
      <w:tr w:rsidR="002C6492" w:rsidRPr="00E632E2" w14:paraId="20A2405A" w14:textId="77777777" w:rsidTr="00B5353D">
        <w:trPr>
          <w:jc w:val="center"/>
        </w:trPr>
        <w:tc>
          <w:tcPr>
            <w:tcW w:w="4876" w:type="dxa"/>
          </w:tcPr>
          <w:p w14:paraId="7A3E6C1C" w14:textId="77777777" w:rsidR="002C6492" w:rsidRPr="00E632E2" w:rsidRDefault="002C6492" w:rsidP="002C6492">
            <w:pPr>
              <w:pStyle w:val="Normal6"/>
              <w:rPr>
                <w:b/>
                <w:bCs/>
                <w:i/>
                <w:iCs/>
              </w:rPr>
            </w:pPr>
          </w:p>
        </w:tc>
        <w:tc>
          <w:tcPr>
            <w:tcW w:w="4876" w:type="dxa"/>
          </w:tcPr>
          <w:p w14:paraId="47C661C9" w14:textId="7F2B116A" w:rsidR="002C6492" w:rsidRPr="00E632E2" w:rsidRDefault="002C6492" w:rsidP="002C6492">
            <w:pPr>
              <w:pStyle w:val="Normal6"/>
              <w:rPr>
                <w:b/>
                <w:bCs/>
                <w:i/>
                <w:iCs/>
              </w:rPr>
            </w:pPr>
            <w:r w:rsidRPr="00E632E2">
              <w:rPr>
                <w:rFonts w:cs="Calibri"/>
                <w:b/>
                <w:bCs/>
                <w:i/>
                <w:iCs/>
                <w:szCs w:val="24"/>
                <w:lang w:eastAsia="fr-BE"/>
              </w:rPr>
              <w:t>______________</w:t>
            </w:r>
          </w:p>
        </w:tc>
      </w:tr>
      <w:tr w:rsidR="002C6492" w:rsidRPr="00E632E2" w14:paraId="07864436" w14:textId="77777777" w:rsidTr="00B5353D">
        <w:trPr>
          <w:jc w:val="center"/>
        </w:trPr>
        <w:tc>
          <w:tcPr>
            <w:tcW w:w="4876" w:type="dxa"/>
          </w:tcPr>
          <w:p w14:paraId="0A320FF7" w14:textId="77777777" w:rsidR="002C6492" w:rsidRPr="00E632E2" w:rsidRDefault="002C6492" w:rsidP="002C6492">
            <w:pPr>
              <w:pStyle w:val="Normal6"/>
              <w:rPr>
                <w:b/>
                <w:bCs/>
                <w:i/>
                <w:iCs/>
              </w:rPr>
            </w:pPr>
          </w:p>
        </w:tc>
        <w:tc>
          <w:tcPr>
            <w:tcW w:w="4876" w:type="dxa"/>
          </w:tcPr>
          <w:p w14:paraId="3D9B3D2A" w14:textId="336FDCEB" w:rsidR="002C6492" w:rsidRPr="00E632E2" w:rsidRDefault="002C6492" w:rsidP="002C6492">
            <w:pPr>
              <w:pStyle w:val="Normal6"/>
              <w:rPr>
                <w:b/>
                <w:bCs/>
                <w:i/>
                <w:iCs/>
              </w:rPr>
            </w:pPr>
            <w:r w:rsidRPr="00E632E2">
              <w:rPr>
                <w:b/>
                <w:bCs/>
                <w:i/>
                <w:iCs/>
                <w:szCs w:val="24"/>
                <w:lang w:eastAsia="fr-BE"/>
              </w:rPr>
              <w:t>*</w:t>
            </w:r>
            <w:r w:rsidRPr="00E632E2">
              <w:rPr>
                <w:b/>
                <w:bCs/>
                <w:i/>
                <w:iCs/>
                <w:szCs w:val="24"/>
                <w:lang w:eastAsia="fr-BE"/>
              </w:rPr>
              <w:tab/>
              <w:t>Regulation (EU) .../... of the European Parliament and of the Council of ... on the Governance of the Energy Union, amending Directive 94/22/EC, Directive 98/70/EC, Directive 2009/31/EC, Regulation (EC) No 663/2009, Regulation (EC) No 715/2009, Directive 2009/73/EC, Council Directive 2009/119/EC, Directive 2010/31/EU, Directive 2012/27/EU, Directive 2013/30/EU and Council Directive (EU) 2015/652 and repealing Regulation (EU) No 525/2013.. (OJ ...).’</w:t>
            </w:r>
          </w:p>
        </w:tc>
      </w:tr>
      <w:tr w:rsidR="002C6492" w:rsidRPr="00E632E2" w14:paraId="7A87540C" w14:textId="77777777" w:rsidTr="00B5353D">
        <w:trPr>
          <w:jc w:val="center"/>
        </w:trPr>
        <w:tc>
          <w:tcPr>
            <w:tcW w:w="4876" w:type="dxa"/>
          </w:tcPr>
          <w:p w14:paraId="1CE7AA5D" w14:textId="77777777" w:rsidR="002C6492" w:rsidRPr="00E632E2" w:rsidRDefault="002C6492" w:rsidP="002C6492">
            <w:pPr>
              <w:pStyle w:val="Normal6"/>
              <w:rPr>
                <w:b/>
                <w:bCs/>
                <w:i/>
                <w:iCs/>
              </w:rPr>
            </w:pPr>
          </w:p>
        </w:tc>
        <w:tc>
          <w:tcPr>
            <w:tcW w:w="4876" w:type="dxa"/>
          </w:tcPr>
          <w:p w14:paraId="7E7F73B8" w14:textId="75046CAB" w:rsidR="002C6492" w:rsidRPr="00E632E2" w:rsidRDefault="002C6492" w:rsidP="002C6492">
            <w:pPr>
              <w:pStyle w:val="Normal6"/>
              <w:rPr>
                <w:b/>
                <w:bCs/>
                <w:i/>
                <w:iCs/>
              </w:rPr>
            </w:pPr>
            <w:r w:rsidRPr="00E632E2">
              <w:rPr>
                <w:b/>
                <w:bCs/>
                <w:i/>
                <w:iCs/>
                <w:szCs w:val="24"/>
                <w:lang w:eastAsia="fr-BE"/>
              </w:rPr>
              <w:t>+</w:t>
            </w:r>
            <w:r w:rsidRPr="00E632E2">
              <w:rPr>
                <w:b/>
                <w:bCs/>
                <w:i/>
                <w:iCs/>
                <w:szCs w:val="24"/>
                <w:lang w:eastAsia="fr-BE"/>
              </w:rPr>
              <w:tab/>
              <w:t>OJ: Please insert in the text the number of the Directive contained in document (2016/0375 (COD)) and insert the number, date, title and OJ reference of that Directive in the footnote.</w:t>
            </w:r>
          </w:p>
        </w:tc>
      </w:tr>
    </w:tbl>
    <w:p w14:paraId="52279098"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52E2F148" w14:textId="77777777" w:rsidR="003F1540" w:rsidRPr="00E632E2" w:rsidRDefault="003F1540" w:rsidP="003F1540">
      <w:pPr>
        <w:rPr>
          <w:szCs w:val="24"/>
        </w:rPr>
      </w:pPr>
      <w:r w:rsidRPr="00E632E2">
        <w:rPr>
          <w:rStyle w:val="HideTWBExt"/>
          <w:noProof w:val="0"/>
        </w:rPr>
        <w:t>&lt;/Amend&gt;</w:t>
      </w:r>
    </w:p>
    <w:p w14:paraId="674F3DBB" w14:textId="47502DDC"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20</w:t>
      </w:r>
      <w:r w:rsidRPr="00E632E2">
        <w:rPr>
          <w:rStyle w:val="HideTWBExt"/>
          <w:b w:val="0"/>
          <w:noProof w:val="0"/>
        </w:rPr>
        <w:t>&lt;/NumAm&gt;</w:t>
      </w:r>
    </w:p>
    <w:p w14:paraId="66002252"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2E319981" w14:textId="77777777" w:rsidR="003F1540" w:rsidRPr="00E632E2" w:rsidRDefault="003F1540" w:rsidP="003F1540">
      <w:pPr>
        <w:pStyle w:val="NormalBold"/>
      </w:pPr>
      <w:r w:rsidRPr="00E632E2">
        <w:rPr>
          <w:rStyle w:val="HideTWBExt"/>
          <w:b w:val="0"/>
          <w:noProof w:val="0"/>
        </w:rPr>
        <w:t>&lt;Article&gt;</w:t>
      </w:r>
      <w:r w:rsidRPr="00E632E2">
        <w:t>Annex I – point 1 – point b</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42E0EC9C" w14:textId="77777777" w:rsidTr="003F1540">
        <w:trPr>
          <w:jc w:val="center"/>
        </w:trPr>
        <w:tc>
          <w:tcPr>
            <w:tcW w:w="9752" w:type="dxa"/>
            <w:gridSpan w:val="2"/>
          </w:tcPr>
          <w:p w14:paraId="3FDAAB0D" w14:textId="77777777" w:rsidR="003F1540" w:rsidRPr="00E632E2" w:rsidRDefault="003F1540">
            <w:pPr>
              <w:keepNext/>
            </w:pPr>
          </w:p>
        </w:tc>
      </w:tr>
      <w:tr w:rsidR="003F1540" w:rsidRPr="00E632E2" w14:paraId="7276B840" w14:textId="77777777" w:rsidTr="003F1540">
        <w:trPr>
          <w:jc w:val="center"/>
        </w:trPr>
        <w:tc>
          <w:tcPr>
            <w:tcW w:w="4876" w:type="dxa"/>
            <w:hideMark/>
          </w:tcPr>
          <w:p w14:paraId="49E2032C" w14:textId="77777777" w:rsidR="003F1540" w:rsidRPr="00E632E2" w:rsidRDefault="003F1540">
            <w:pPr>
              <w:pStyle w:val="ColumnHeading"/>
              <w:keepNext/>
            </w:pPr>
            <w:r w:rsidRPr="00E632E2">
              <w:t>Text proposed by the Commission</w:t>
            </w:r>
          </w:p>
        </w:tc>
        <w:tc>
          <w:tcPr>
            <w:tcW w:w="4876" w:type="dxa"/>
            <w:hideMark/>
          </w:tcPr>
          <w:p w14:paraId="7EA09B67" w14:textId="77777777" w:rsidR="003F1540" w:rsidRPr="00E632E2" w:rsidRDefault="003F1540">
            <w:pPr>
              <w:pStyle w:val="ColumnHeading"/>
              <w:keepNext/>
            </w:pPr>
            <w:r w:rsidRPr="00E632E2">
              <w:t>Amendment</w:t>
            </w:r>
          </w:p>
        </w:tc>
      </w:tr>
      <w:tr w:rsidR="003F1540" w:rsidRPr="00E632E2" w14:paraId="2CB13F20" w14:textId="77777777" w:rsidTr="003F1540">
        <w:trPr>
          <w:jc w:val="center"/>
        </w:trPr>
        <w:tc>
          <w:tcPr>
            <w:tcW w:w="4876" w:type="dxa"/>
            <w:hideMark/>
          </w:tcPr>
          <w:p w14:paraId="4F875693" w14:textId="77777777" w:rsidR="003F1540" w:rsidRPr="00E632E2" w:rsidRDefault="003F1540">
            <w:pPr>
              <w:pStyle w:val="Normal6"/>
            </w:pPr>
            <w:r w:rsidRPr="00E632E2">
              <w:t>(b)</w:t>
            </w:r>
            <w:r w:rsidRPr="00E632E2">
              <w:tab/>
              <w:t>all criteria and methods, including selection and weighting factors, metrics, proxies used in the benchmark calculation;</w:t>
            </w:r>
          </w:p>
        </w:tc>
        <w:tc>
          <w:tcPr>
            <w:tcW w:w="4876" w:type="dxa"/>
            <w:hideMark/>
          </w:tcPr>
          <w:p w14:paraId="161131D4" w14:textId="77777777" w:rsidR="003F1540" w:rsidRPr="00E632E2" w:rsidRDefault="003F1540">
            <w:pPr>
              <w:pStyle w:val="Normal6"/>
              <w:rPr>
                <w:szCs w:val="24"/>
              </w:rPr>
            </w:pPr>
            <w:r w:rsidRPr="00E632E2">
              <w:t>(b)</w:t>
            </w:r>
            <w:r w:rsidRPr="00E632E2">
              <w:tab/>
              <w:t>all criteria and methods, including selection</w:t>
            </w:r>
            <w:r w:rsidRPr="00E632E2">
              <w:rPr>
                <w:b/>
                <w:i/>
              </w:rPr>
              <w:t>, exclusion</w:t>
            </w:r>
            <w:r w:rsidRPr="00E632E2">
              <w:t xml:space="preserve"> and weighting factors, metrics, </w:t>
            </w:r>
            <w:r w:rsidRPr="00E632E2">
              <w:rPr>
                <w:b/>
                <w:i/>
              </w:rPr>
              <w:t>and</w:t>
            </w:r>
            <w:r w:rsidRPr="00E632E2">
              <w:t xml:space="preserve"> proxies used in the benchmark </w:t>
            </w:r>
            <w:r w:rsidRPr="00E632E2">
              <w:rPr>
                <w:b/>
                <w:i/>
              </w:rPr>
              <w:t>methodology</w:t>
            </w:r>
            <w:r w:rsidRPr="00E632E2">
              <w:t xml:space="preserve"> calculation</w:t>
            </w:r>
            <w:r w:rsidR="007E37CB" w:rsidRPr="00E632E2">
              <w:t>;</w:t>
            </w:r>
          </w:p>
        </w:tc>
      </w:tr>
    </w:tbl>
    <w:p w14:paraId="26CF6F71"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7EF2FA18" w14:textId="77777777" w:rsidR="003F1540" w:rsidRPr="00E632E2" w:rsidRDefault="003F1540" w:rsidP="003F1540">
      <w:pPr>
        <w:rPr>
          <w:szCs w:val="24"/>
        </w:rPr>
      </w:pPr>
      <w:r w:rsidRPr="00E632E2">
        <w:rPr>
          <w:rStyle w:val="HideTWBExt"/>
          <w:noProof w:val="0"/>
        </w:rPr>
        <w:t>&lt;/Amend&gt;</w:t>
      </w:r>
    </w:p>
    <w:p w14:paraId="4A7165D3" w14:textId="69FC2D4E" w:rsidR="003F1540" w:rsidRPr="00E632E2" w:rsidRDefault="003F1540" w:rsidP="003F1540">
      <w:pPr>
        <w:pStyle w:val="AMNumberTabs"/>
        <w:keepNext/>
      </w:pPr>
      <w:r w:rsidRPr="00E632E2">
        <w:rPr>
          <w:rStyle w:val="HideTWBExt"/>
          <w:b w:val="0"/>
          <w:noProof w:val="0"/>
        </w:rPr>
        <w:lastRenderedPageBreak/>
        <w:t>&lt;Amend&gt;</w:t>
      </w:r>
      <w:r w:rsidRPr="00E632E2">
        <w:t>Amendment</w:t>
      </w:r>
      <w:r w:rsidRPr="00E632E2">
        <w:tab/>
      </w:r>
      <w:r w:rsidRPr="00E632E2">
        <w:tab/>
      </w:r>
      <w:r w:rsidRPr="00E632E2">
        <w:rPr>
          <w:rStyle w:val="HideTWBExt"/>
          <w:b w:val="0"/>
          <w:noProof w:val="0"/>
        </w:rPr>
        <w:t>&lt;NumAm&gt;</w:t>
      </w:r>
      <w:r w:rsidR="002C6492" w:rsidRPr="00E632E2">
        <w:rPr>
          <w:color w:val="000000"/>
        </w:rPr>
        <w:t>21</w:t>
      </w:r>
      <w:r w:rsidRPr="00E632E2">
        <w:rPr>
          <w:rStyle w:val="HideTWBExt"/>
          <w:b w:val="0"/>
          <w:noProof w:val="0"/>
        </w:rPr>
        <w:t>&lt;/NumAm&gt;</w:t>
      </w:r>
    </w:p>
    <w:p w14:paraId="7B5C3A46"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1C347B7B" w14:textId="77777777" w:rsidR="003F1540" w:rsidRPr="00E632E2" w:rsidRDefault="003F1540" w:rsidP="003F1540">
      <w:pPr>
        <w:pStyle w:val="NormalBold"/>
      </w:pPr>
      <w:r w:rsidRPr="00E632E2">
        <w:rPr>
          <w:rStyle w:val="HideTWBExt"/>
          <w:b w:val="0"/>
          <w:noProof w:val="0"/>
        </w:rPr>
        <w:t>&lt;Article&gt;</w:t>
      </w:r>
      <w:r w:rsidRPr="00E632E2">
        <w:t>Annex I – point 1 – point d</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3D0A6839" w14:textId="77777777" w:rsidTr="003F1540">
        <w:trPr>
          <w:jc w:val="center"/>
        </w:trPr>
        <w:tc>
          <w:tcPr>
            <w:tcW w:w="9752" w:type="dxa"/>
            <w:gridSpan w:val="2"/>
          </w:tcPr>
          <w:p w14:paraId="2471CE77" w14:textId="77777777" w:rsidR="003F1540" w:rsidRPr="00E632E2" w:rsidRDefault="003F1540">
            <w:pPr>
              <w:keepNext/>
            </w:pPr>
          </w:p>
        </w:tc>
      </w:tr>
      <w:tr w:rsidR="003F1540" w:rsidRPr="00E632E2" w14:paraId="4F6946E3" w14:textId="77777777" w:rsidTr="003F1540">
        <w:trPr>
          <w:jc w:val="center"/>
        </w:trPr>
        <w:tc>
          <w:tcPr>
            <w:tcW w:w="4876" w:type="dxa"/>
            <w:hideMark/>
          </w:tcPr>
          <w:p w14:paraId="534D2700" w14:textId="77777777" w:rsidR="003F1540" w:rsidRPr="00E632E2" w:rsidRDefault="003F1540">
            <w:pPr>
              <w:pStyle w:val="ColumnHeading"/>
              <w:keepNext/>
            </w:pPr>
            <w:r w:rsidRPr="00E632E2">
              <w:t>Text proposed by the Commission</w:t>
            </w:r>
          </w:p>
        </w:tc>
        <w:tc>
          <w:tcPr>
            <w:tcW w:w="4876" w:type="dxa"/>
            <w:hideMark/>
          </w:tcPr>
          <w:p w14:paraId="51DE121A" w14:textId="77777777" w:rsidR="003F1540" w:rsidRPr="00E632E2" w:rsidRDefault="003F1540">
            <w:pPr>
              <w:pStyle w:val="ColumnHeading"/>
              <w:keepNext/>
            </w:pPr>
            <w:r w:rsidRPr="00E632E2">
              <w:t>Amendment</w:t>
            </w:r>
          </w:p>
        </w:tc>
      </w:tr>
      <w:tr w:rsidR="003F1540" w:rsidRPr="00E632E2" w14:paraId="0E1DAB8A" w14:textId="77777777" w:rsidTr="003F1540">
        <w:trPr>
          <w:jc w:val="center"/>
        </w:trPr>
        <w:tc>
          <w:tcPr>
            <w:tcW w:w="4876" w:type="dxa"/>
            <w:hideMark/>
          </w:tcPr>
          <w:p w14:paraId="14D14B55" w14:textId="77777777" w:rsidR="003F1540" w:rsidRPr="00E632E2" w:rsidRDefault="003F1540">
            <w:pPr>
              <w:pStyle w:val="Normal6"/>
            </w:pPr>
            <w:r w:rsidRPr="00E632E2">
              <w:t>(d)</w:t>
            </w:r>
            <w:r w:rsidRPr="00E632E2">
              <w:tab/>
              <w:t>the criteria for and the methods of how the low carbon benchmark measures the carbon footprint and carbon savings associated with the underlying assets in the index portfolio;</w:t>
            </w:r>
          </w:p>
        </w:tc>
        <w:tc>
          <w:tcPr>
            <w:tcW w:w="4876" w:type="dxa"/>
            <w:hideMark/>
          </w:tcPr>
          <w:p w14:paraId="3C43BFB1" w14:textId="3C5E104E" w:rsidR="003F1540" w:rsidRPr="00E632E2" w:rsidRDefault="003F1540" w:rsidP="00A116ED">
            <w:pPr>
              <w:pStyle w:val="Normal6"/>
              <w:rPr>
                <w:szCs w:val="24"/>
              </w:rPr>
            </w:pPr>
            <w:r w:rsidRPr="00E632E2">
              <w:t>(d)</w:t>
            </w:r>
            <w:r w:rsidRPr="00E632E2">
              <w:tab/>
              <w:t xml:space="preserve">the </w:t>
            </w:r>
            <w:r w:rsidRPr="00E632E2">
              <w:rPr>
                <w:b/>
                <w:i/>
              </w:rPr>
              <w:t>science based</w:t>
            </w:r>
            <w:r w:rsidRPr="00E632E2">
              <w:t xml:space="preserve"> criteria for and the methods of how the low carbon benchmark measures the carbon footprint and carbon savings </w:t>
            </w:r>
            <w:r w:rsidRPr="00E632E2">
              <w:rPr>
                <w:b/>
                <w:i/>
              </w:rPr>
              <w:t xml:space="preserve">as well as its alignment with the Paris </w:t>
            </w:r>
            <w:r w:rsidR="00827092" w:rsidRPr="00E632E2">
              <w:rPr>
                <w:b/>
                <w:i/>
              </w:rPr>
              <w:t>Climate A</w:t>
            </w:r>
            <w:r w:rsidRPr="00E632E2">
              <w:rPr>
                <w:b/>
                <w:i/>
              </w:rPr>
              <w:t>greement commitments as implemented in U</w:t>
            </w:r>
            <w:r w:rsidR="00A116ED" w:rsidRPr="00E632E2">
              <w:rPr>
                <w:b/>
                <w:i/>
              </w:rPr>
              <w:t>nion</w:t>
            </w:r>
            <w:r w:rsidRPr="00E632E2">
              <w:rPr>
                <w:b/>
                <w:i/>
              </w:rPr>
              <w:t xml:space="preserve"> l</w:t>
            </w:r>
            <w:r w:rsidR="00A116ED" w:rsidRPr="00E632E2">
              <w:rPr>
                <w:b/>
                <w:i/>
              </w:rPr>
              <w:t>aw</w:t>
            </w:r>
            <w:r w:rsidRPr="00E632E2">
              <w:rPr>
                <w:b/>
                <w:i/>
              </w:rPr>
              <w:t xml:space="preserve"> </w:t>
            </w:r>
            <w:r w:rsidRPr="00E632E2">
              <w:t>associated with the underlying assets in the index portfolio;</w:t>
            </w:r>
          </w:p>
        </w:tc>
      </w:tr>
    </w:tbl>
    <w:p w14:paraId="234A967D"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7F7C0C94" w14:textId="77777777" w:rsidR="003F1540" w:rsidRPr="00E632E2" w:rsidRDefault="003F1540" w:rsidP="003F1540">
      <w:pPr>
        <w:rPr>
          <w:szCs w:val="24"/>
        </w:rPr>
      </w:pPr>
      <w:r w:rsidRPr="00E632E2">
        <w:rPr>
          <w:rStyle w:val="HideTWBExt"/>
          <w:noProof w:val="0"/>
        </w:rPr>
        <w:t>&lt;/Amend&gt;</w:t>
      </w:r>
    </w:p>
    <w:p w14:paraId="54FB7B6E" w14:textId="7FA44770"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22</w:t>
      </w:r>
      <w:r w:rsidRPr="00E632E2">
        <w:rPr>
          <w:rStyle w:val="HideTWBExt"/>
          <w:b w:val="0"/>
          <w:noProof w:val="0"/>
        </w:rPr>
        <w:t>&lt;/NumAm&gt;</w:t>
      </w:r>
    </w:p>
    <w:p w14:paraId="4EBB19EE"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7ADE99AC" w14:textId="77777777" w:rsidR="003F1540" w:rsidRPr="00E632E2" w:rsidRDefault="003F1540" w:rsidP="003F1540">
      <w:pPr>
        <w:pStyle w:val="NormalBold"/>
      </w:pPr>
      <w:r w:rsidRPr="00E632E2">
        <w:rPr>
          <w:rStyle w:val="HideTWBExt"/>
          <w:b w:val="0"/>
          <w:noProof w:val="0"/>
        </w:rPr>
        <w:t>&lt;Article&gt;</w:t>
      </w:r>
      <w:r w:rsidRPr="00E632E2">
        <w:t>Annex I – point 1 – point h – introductory part</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2E9BD4DC" w14:textId="77777777" w:rsidTr="003F1540">
        <w:trPr>
          <w:jc w:val="center"/>
        </w:trPr>
        <w:tc>
          <w:tcPr>
            <w:tcW w:w="9752" w:type="dxa"/>
            <w:gridSpan w:val="2"/>
          </w:tcPr>
          <w:p w14:paraId="48BA4FFF" w14:textId="77777777" w:rsidR="003F1540" w:rsidRPr="00E632E2" w:rsidRDefault="003F1540">
            <w:pPr>
              <w:keepNext/>
            </w:pPr>
          </w:p>
        </w:tc>
      </w:tr>
      <w:tr w:rsidR="003F1540" w:rsidRPr="00E632E2" w14:paraId="42A60C06" w14:textId="77777777" w:rsidTr="003F1540">
        <w:trPr>
          <w:jc w:val="center"/>
        </w:trPr>
        <w:tc>
          <w:tcPr>
            <w:tcW w:w="4876" w:type="dxa"/>
            <w:hideMark/>
          </w:tcPr>
          <w:p w14:paraId="2B41D2FD" w14:textId="77777777" w:rsidR="003F1540" w:rsidRPr="00E632E2" w:rsidRDefault="003F1540">
            <w:pPr>
              <w:pStyle w:val="ColumnHeading"/>
              <w:keepNext/>
            </w:pPr>
            <w:r w:rsidRPr="00E632E2">
              <w:t>Text proposed by the Commission</w:t>
            </w:r>
          </w:p>
        </w:tc>
        <w:tc>
          <w:tcPr>
            <w:tcW w:w="4876" w:type="dxa"/>
            <w:hideMark/>
          </w:tcPr>
          <w:p w14:paraId="1748104D" w14:textId="77777777" w:rsidR="003F1540" w:rsidRPr="00E632E2" w:rsidRDefault="003F1540">
            <w:pPr>
              <w:pStyle w:val="ColumnHeading"/>
              <w:keepNext/>
            </w:pPr>
            <w:r w:rsidRPr="00E632E2">
              <w:t>Amendment</w:t>
            </w:r>
          </w:p>
        </w:tc>
      </w:tr>
      <w:tr w:rsidR="003F1540" w:rsidRPr="00E632E2" w14:paraId="190C6325" w14:textId="77777777" w:rsidTr="003F1540">
        <w:trPr>
          <w:jc w:val="center"/>
        </w:trPr>
        <w:tc>
          <w:tcPr>
            <w:tcW w:w="4876" w:type="dxa"/>
            <w:hideMark/>
          </w:tcPr>
          <w:p w14:paraId="772828E7" w14:textId="77777777" w:rsidR="003F1540" w:rsidRPr="00E632E2" w:rsidRDefault="003F1540">
            <w:pPr>
              <w:pStyle w:val="Normal6"/>
            </w:pPr>
            <w:r w:rsidRPr="00E632E2">
              <w:t>(h)</w:t>
            </w:r>
            <w:r w:rsidRPr="00E632E2">
              <w:tab/>
              <w:t xml:space="preserve">the type and source of input data </w:t>
            </w:r>
            <w:r w:rsidRPr="00E632E2">
              <w:rPr>
                <w:b/>
                <w:i/>
              </w:rPr>
              <w:t>used for</w:t>
            </w:r>
            <w:r w:rsidRPr="00E632E2">
              <w:t xml:space="preserve"> the selection </w:t>
            </w:r>
            <w:r w:rsidRPr="00E632E2">
              <w:rPr>
                <w:b/>
                <w:i/>
              </w:rPr>
              <w:t>of</w:t>
            </w:r>
            <w:r w:rsidRPr="00E632E2">
              <w:t xml:space="preserve"> assets </w:t>
            </w:r>
            <w:r w:rsidRPr="00E632E2">
              <w:rPr>
                <w:b/>
                <w:i/>
              </w:rPr>
              <w:t>or companies eligible for the low carbon benchmark, including:</w:t>
            </w:r>
          </w:p>
        </w:tc>
        <w:tc>
          <w:tcPr>
            <w:tcW w:w="4876" w:type="dxa"/>
            <w:hideMark/>
          </w:tcPr>
          <w:p w14:paraId="5AB6273E" w14:textId="77777777" w:rsidR="003F1540" w:rsidRPr="00E632E2" w:rsidRDefault="003F1540">
            <w:pPr>
              <w:pStyle w:val="Normal6"/>
              <w:rPr>
                <w:szCs w:val="24"/>
              </w:rPr>
            </w:pPr>
            <w:r w:rsidRPr="00E632E2">
              <w:t>(h)</w:t>
            </w:r>
            <w:r w:rsidRPr="00E632E2">
              <w:tab/>
              <w:t xml:space="preserve">the type and source of input data </w:t>
            </w:r>
            <w:r w:rsidRPr="00E632E2">
              <w:rPr>
                <w:b/>
                <w:i/>
              </w:rPr>
              <w:t>and how it is used within the benchmark methodology to determine</w:t>
            </w:r>
            <w:r w:rsidRPr="00E632E2">
              <w:t xml:space="preserve"> the selection</w:t>
            </w:r>
            <w:r w:rsidRPr="00E632E2">
              <w:rPr>
                <w:b/>
                <w:i/>
              </w:rPr>
              <w:t>, exclusion or re-weighting of the underlying</w:t>
            </w:r>
            <w:r w:rsidRPr="00E632E2">
              <w:t xml:space="preserve"> assets</w:t>
            </w:r>
            <w:r w:rsidRPr="00E632E2">
              <w:rPr>
                <w:b/>
                <w:i/>
              </w:rPr>
              <w:t>.</w:t>
            </w:r>
          </w:p>
        </w:tc>
      </w:tr>
    </w:tbl>
    <w:p w14:paraId="0B445252"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5716B907" w14:textId="77777777" w:rsidR="003F1540" w:rsidRPr="00E632E2" w:rsidRDefault="003F1540" w:rsidP="003F1540">
      <w:pPr>
        <w:rPr>
          <w:szCs w:val="24"/>
        </w:rPr>
      </w:pPr>
      <w:r w:rsidRPr="00E632E2">
        <w:rPr>
          <w:rStyle w:val="HideTWBExt"/>
          <w:noProof w:val="0"/>
        </w:rPr>
        <w:t>&lt;/Amend&gt;</w:t>
      </w:r>
    </w:p>
    <w:p w14:paraId="1DC525F3" w14:textId="5C55A259"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23</w:t>
      </w:r>
      <w:r w:rsidRPr="00E632E2">
        <w:rPr>
          <w:rStyle w:val="HideTWBExt"/>
          <w:b w:val="0"/>
          <w:noProof w:val="0"/>
        </w:rPr>
        <w:t>&lt;/NumAm&gt;</w:t>
      </w:r>
    </w:p>
    <w:p w14:paraId="2F4D9E0A"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4FB4B967" w14:textId="77777777" w:rsidR="003F1540" w:rsidRPr="00E632E2" w:rsidRDefault="003F1540" w:rsidP="003F1540">
      <w:pPr>
        <w:pStyle w:val="NormalBold"/>
      </w:pPr>
      <w:r w:rsidRPr="00E632E2">
        <w:rPr>
          <w:rStyle w:val="HideTWBExt"/>
          <w:b w:val="0"/>
          <w:noProof w:val="0"/>
        </w:rPr>
        <w:t>&lt;Article&gt;</w:t>
      </w:r>
      <w:r w:rsidRPr="00E632E2">
        <w:t>Annex I – point 1 – point h – point i</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301AB6BC" w14:textId="77777777" w:rsidTr="003F1540">
        <w:trPr>
          <w:jc w:val="center"/>
        </w:trPr>
        <w:tc>
          <w:tcPr>
            <w:tcW w:w="9752" w:type="dxa"/>
            <w:gridSpan w:val="2"/>
          </w:tcPr>
          <w:p w14:paraId="6339811A" w14:textId="77777777" w:rsidR="003F1540" w:rsidRPr="00E632E2" w:rsidRDefault="003F1540">
            <w:pPr>
              <w:keepNext/>
            </w:pPr>
          </w:p>
        </w:tc>
      </w:tr>
      <w:tr w:rsidR="003F1540" w:rsidRPr="00E632E2" w14:paraId="5930E89A" w14:textId="77777777" w:rsidTr="003F1540">
        <w:trPr>
          <w:jc w:val="center"/>
        </w:trPr>
        <w:tc>
          <w:tcPr>
            <w:tcW w:w="4876" w:type="dxa"/>
            <w:hideMark/>
          </w:tcPr>
          <w:p w14:paraId="0BE1208B" w14:textId="77777777" w:rsidR="003F1540" w:rsidRPr="00E632E2" w:rsidRDefault="003F1540">
            <w:pPr>
              <w:pStyle w:val="ColumnHeading"/>
              <w:keepNext/>
            </w:pPr>
            <w:r w:rsidRPr="00E632E2">
              <w:t>Text proposed by the Commission</w:t>
            </w:r>
          </w:p>
        </w:tc>
        <w:tc>
          <w:tcPr>
            <w:tcW w:w="4876" w:type="dxa"/>
            <w:hideMark/>
          </w:tcPr>
          <w:p w14:paraId="56AA2A98" w14:textId="77777777" w:rsidR="003F1540" w:rsidRPr="00E632E2" w:rsidRDefault="003F1540">
            <w:pPr>
              <w:pStyle w:val="ColumnHeading"/>
              <w:keepNext/>
            </w:pPr>
            <w:r w:rsidRPr="00E632E2">
              <w:t>Amendment</w:t>
            </w:r>
          </w:p>
        </w:tc>
      </w:tr>
      <w:tr w:rsidR="003F1540" w:rsidRPr="00E632E2" w14:paraId="12F191E7" w14:textId="77777777" w:rsidTr="003F1540">
        <w:trPr>
          <w:jc w:val="center"/>
        </w:trPr>
        <w:tc>
          <w:tcPr>
            <w:tcW w:w="4876" w:type="dxa"/>
            <w:hideMark/>
          </w:tcPr>
          <w:p w14:paraId="44583E8D" w14:textId="77777777" w:rsidR="003F1540" w:rsidRPr="00E632E2" w:rsidRDefault="003F1540">
            <w:pPr>
              <w:pStyle w:val="Normal6"/>
            </w:pPr>
            <w:r w:rsidRPr="00E632E2">
              <w:t>(i)</w:t>
            </w:r>
            <w:r w:rsidRPr="00E632E2">
              <w:tab/>
              <w:t>emissions from sources that are controlled by the company;</w:t>
            </w:r>
          </w:p>
        </w:tc>
        <w:tc>
          <w:tcPr>
            <w:tcW w:w="4876" w:type="dxa"/>
            <w:hideMark/>
          </w:tcPr>
          <w:p w14:paraId="08648290" w14:textId="77777777" w:rsidR="003F1540" w:rsidRPr="00E632E2" w:rsidRDefault="003F1540">
            <w:pPr>
              <w:pStyle w:val="Normal6"/>
              <w:rPr>
                <w:szCs w:val="24"/>
              </w:rPr>
            </w:pPr>
            <w:r w:rsidRPr="00E632E2">
              <w:t>(i)</w:t>
            </w:r>
            <w:r w:rsidRPr="00E632E2">
              <w:tab/>
              <w:t xml:space="preserve">emissions </w:t>
            </w:r>
            <w:r w:rsidRPr="00E632E2">
              <w:rPr>
                <w:b/>
                <w:i/>
              </w:rPr>
              <w:t>generated</w:t>
            </w:r>
            <w:r w:rsidRPr="00E632E2">
              <w:t xml:space="preserve"> from sources that are controlled by the company </w:t>
            </w:r>
            <w:r w:rsidRPr="00E632E2">
              <w:rPr>
                <w:b/>
                <w:i/>
              </w:rPr>
              <w:t>associated with the underlying assets</w:t>
            </w:r>
            <w:r w:rsidRPr="00E632E2">
              <w:t xml:space="preserve"> ;</w:t>
            </w:r>
          </w:p>
        </w:tc>
      </w:tr>
    </w:tbl>
    <w:p w14:paraId="5876F840"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671E84F7" w14:textId="77777777" w:rsidR="003F1540" w:rsidRPr="00E632E2" w:rsidRDefault="003F1540" w:rsidP="003F1540">
      <w:pPr>
        <w:rPr>
          <w:szCs w:val="24"/>
        </w:rPr>
      </w:pPr>
      <w:r w:rsidRPr="00E632E2">
        <w:rPr>
          <w:rStyle w:val="HideTWBExt"/>
          <w:noProof w:val="0"/>
        </w:rPr>
        <w:lastRenderedPageBreak/>
        <w:t>&lt;/Amend&gt;</w:t>
      </w:r>
    </w:p>
    <w:p w14:paraId="18DFF025" w14:textId="5C422A8A"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24</w:t>
      </w:r>
      <w:r w:rsidRPr="00E632E2">
        <w:rPr>
          <w:rStyle w:val="HideTWBExt"/>
          <w:b w:val="0"/>
          <w:noProof w:val="0"/>
        </w:rPr>
        <w:t>&lt;/NumAm&gt;</w:t>
      </w:r>
    </w:p>
    <w:p w14:paraId="620C6AF2"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116FA5E6" w14:textId="77777777" w:rsidR="003F1540" w:rsidRPr="00E632E2" w:rsidRDefault="003F1540" w:rsidP="003F1540">
      <w:pPr>
        <w:pStyle w:val="NormalBold"/>
      </w:pPr>
      <w:r w:rsidRPr="00E632E2">
        <w:rPr>
          <w:rStyle w:val="HideTWBExt"/>
          <w:b w:val="0"/>
          <w:noProof w:val="0"/>
        </w:rPr>
        <w:t>&lt;Article&gt;</w:t>
      </w:r>
      <w:r w:rsidRPr="00E632E2">
        <w:t>Annex I – point 1 – point i</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37F76372" w14:textId="77777777" w:rsidTr="003F1540">
        <w:trPr>
          <w:jc w:val="center"/>
        </w:trPr>
        <w:tc>
          <w:tcPr>
            <w:tcW w:w="9752" w:type="dxa"/>
            <w:gridSpan w:val="2"/>
          </w:tcPr>
          <w:p w14:paraId="033C362F" w14:textId="77777777" w:rsidR="003F1540" w:rsidRPr="00E632E2" w:rsidRDefault="003F1540">
            <w:pPr>
              <w:keepNext/>
            </w:pPr>
          </w:p>
        </w:tc>
      </w:tr>
      <w:tr w:rsidR="003F1540" w:rsidRPr="00E632E2" w14:paraId="45667D4E" w14:textId="77777777" w:rsidTr="003F1540">
        <w:trPr>
          <w:jc w:val="center"/>
        </w:trPr>
        <w:tc>
          <w:tcPr>
            <w:tcW w:w="4876" w:type="dxa"/>
            <w:hideMark/>
          </w:tcPr>
          <w:p w14:paraId="28AED300" w14:textId="77777777" w:rsidR="003F1540" w:rsidRPr="00E632E2" w:rsidRDefault="003F1540">
            <w:pPr>
              <w:pStyle w:val="ColumnHeading"/>
              <w:keepNext/>
            </w:pPr>
            <w:r w:rsidRPr="00E632E2">
              <w:t>Text proposed by the Commission</w:t>
            </w:r>
          </w:p>
        </w:tc>
        <w:tc>
          <w:tcPr>
            <w:tcW w:w="4876" w:type="dxa"/>
            <w:hideMark/>
          </w:tcPr>
          <w:p w14:paraId="55E17586" w14:textId="77777777" w:rsidR="003F1540" w:rsidRPr="00E632E2" w:rsidRDefault="003F1540">
            <w:pPr>
              <w:pStyle w:val="ColumnHeading"/>
              <w:keepNext/>
            </w:pPr>
            <w:r w:rsidRPr="00E632E2">
              <w:t>Amendment</w:t>
            </w:r>
          </w:p>
        </w:tc>
      </w:tr>
      <w:tr w:rsidR="003F1540" w:rsidRPr="00E632E2" w14:paraId="3DC5F682" w14:textId="77777777" w:rsidTr="003F1540">
        <w:trPr>
          <w:jc w:val="center"/>
        </w:trPr>
        <w:tc>
          <w:tcPr>
            <w:tcW w:w="4876" w:type="dxa"/>
            <w:hideMark/>
          </w:tcPr>
          <w:p w14:paraId="07E1FB32" w14:textId="77777777" w:rsidR="003F1540" w:rsidRPr="00E632E2" w:rsidRDefault="003F1540">
            <w:pPr>
              <w:pStyle w:val="Normal6"/>
            </w:pPr>
            <w:r w:rsidRPr="00E632E2">
              <w:t>(i)</w:t>
            </w:r>
            <w:r w:rsidRPr="00E632E2">
              <w:tab/>
            </w:r>
            <w:r w:rsidRPr="00E632E2">
              <w:rPr>
                <w:b/>
                <w:i/>
              </w:rPr>
              <w:t>the total carbon-footprint exposure of the index portfolio and</w:t>
            </w:r>
            <w:r w:rsidRPr="00E632E2">
              <w:t xml:space="preserve"> the estimated impacts on climate-change mitigation of the low carbon strategy pursued by the benchmark;</w:t>
            </w:r>
          </w:p>
        </w:tc>
        <w:tc>
          <w:tcPr>
            <w:tcW w:w="4876" w:type="dxa"/>
            <w:hideMark/>
          </w:tcPr>
          <w:p w14:paraId="036E6930" w14:textId="10D7B631" w:rsidR="003F1540" w:rsidRPr="00E632E2" w:rsidRDefault="003F1540" w:rsidP="00A116ED">
            <w:pPr>
              <w:pStyle w:val="Normal6"/>
              <w:rPr>
                <w:szCs w:val="24"/>
              </w:rPr>
            </w:pPr>
            <w:r w:rsidRPr="00E632E2">
              <w:t>(i)</w:t>
            </w:r>
            <w:r w:rsidRPr="00E632E2">
              <w:tab/>
              <w:t xml:space="preserve">the estimated impacts on climate-change mitigation </w:t>
            </w:r>
            <w:r w:rsidRPr="00E632E2">
              <w:rPr>
                <w:b/>
                <w:i/>
              </w:rPr>
              <w:t xml:space="preserve">and the contribution to the Paris </w:t>
            </w:r>
            <w:r w:rsidR="00827092" w:rsidRPr="00E632E2">
              <w:rPr>
                <w:b/>
                <w:i/>
              </w:rPr>
              <w:t xml:space="preserve">Climate </w:t>
            </w:r>
            <w:r w:rsidRPr="00E632E2">
              <w:rPr>
                <w:b/>
                <w:i/>
              </w:rPr>
              <w:t>Agreement commi</w:t>
            </w:r>
            <w:r w:rsidR="007E37CB" w:rsidRPr="00E632E2">
              <w:rPr>
                <w:b/>
                <w:i/>
              </w:rPr>
              <w:t>tments as implemented in U</w:t>
            </w:r>
            <w:r w:rsidR="00A116ED" w:rsidRPr="00E632E2">
              <w:rPr>
                <w:b/>
                <w:i/>
              </w:rPr>
              <w:t>nion</w:t>
            </w:r>
            <w:r w:rsidR="007E37CB" w:rsidRPr="00E632E2">
              <w:rPr>
                <w:b/>
                <w:i/>
              </w:rPr>
              <w:t xml:space="preserve"> </w:t>
            </w:r>
            <w:r w:rsidRPr="00E632E2">
              <w:rPr>
                <w:b/>
                <w:i/>
              </w:rPr>
              <w:t>l</w:t>
            </w:r>
            <w:r w:rsidR="00A116ED" w:rsidRPr="00E632E2">
              <w:rPr>
                <w:b/>
                <w:i/>
              </w:rPr>
              <w:t>aw</w:t>
            </w:r>
            <w:r w:rsidRPr="00E632E2">
              <w:t xml:space="preserve"> of the low carbon strategy pursued by the benchmark;</w:t>
            </w:r>
          </w:p>
        </w:tc>
      </w:tr>
    </w:tbl>
    <w:p w14:paraId="6E8EA92C"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71FCF5EA" w14:textId="77777777" w:rsidR="003F1540" w:rsidRPr="00E632E2" w:rsidRDefault="003F1540" w:rsidP="003F1540">
      <w:pPr>
        <w:rPr>
          <w:szCs w:val="24"/>
        </w:rPr>
      </w:pPr>
      <w:r w:rsidRPr="00E632E2">
        <w:rPr>
          <w:rStyle w:val="HideTWBExt"/>
          <w:noProof w:val="0"/>
        </w:rPr>
        <w:t>&lt;/Amend&gt;</w:t>
      </w:r>
    </w:p>
    <w:p w14:paraId="107318CF" w14:textId="3E752621" w:rsidR="003F1540" w:rsidRPr="00E632E2" w:rsidRDefault="003F1540" w:rsidP="003F1540">
      <w:pPr>
        <w:pStyle w:val="AMNumberTabs"/>
        <w:keepNext/>
      </w:pPr>
      <w:r w:rsidRPr="00E632E2">
        <w:rPr>
          <w:rStyle w:val="HideTWBExt"/>
          <w:b w:val="0"/>
          <w:noProof w:val="0"/>
        </w:rPr>
        <w:t>&lt;Amend&gt;</w:t>
      </w:r>
      <w:r w:rsidRPr="00E632E2">
        <w:t>Amendment</w:t>
      </w:r>
      <w:r w:rsidRPr="00E632E2">
        <w:tab/>
      </w:r>
      <w:r w:rsidRPr="00E632E2">
        <w:tab/>
      </w:r>
      <w:r w:rsidRPr="00E632E2">
        <w:rPr>
          <w:rStyle w:val="HideTWBExt"/>
          <w:b w:val="0"/>
          <w:noProof w:val="0"/>
        </w:rPr>
        <w:t>&lt;NumAm&gt;</w:t>
      </w:r>
      <w:r w:rsidR="002C6492" w:rsidRPr="00E632E2">
        <w:rPr>
          <w:color w:val="000000"/>
        </w:rPr>
        <w:t>25</w:t>
      </w:r>
      <w:r w:rsidRPr="00E632E2">
        <w:rPr>
          <w:rStyle w:val="HideTWBExt"/>
          <w:b w:val="0"/>
          <w:noProof w:val="0"/>
        </w:rPr>
        <w:t>&lt;/NumAm&gt;</w:t>
      </w:r>
    </w:p>
    <w:p w14:paraId="2A8B67FC" w14:textId="77777777" w:rsidR="003F1540" w:rsidRPr="00E632E2" w:rsidRDefault="003F1540" w:rsidP="003F1540">
      <w:pPr>
        <w:pStyle w:val="NormalBold12b"/>
        <w:keepNext/>
      </w:pPr>
      <w:r w:rsidRPr="00E632E2">
        <w:rPr>
          <w:rStyle w:val="HideTWBExt"/>
          <w:b w:val="0"/>
          <w:noProof w:val="0"/>
        </w:rPr>
        <w:t>&lt;DocAmend&gt;</w:t>
      </w:r>
      <w:r w:rsidRPr="00E632E2">
        <w:t>Proposal for a regulation</w:t>
      </w:r>
      <w:r w:rsidRPr="00E632E2">
        <w:rPr>
          <w:rStyle w:val="HideTWBExt"/>
          <w:b w:val="0"/>
          <w:noProof w:val="0"/>
        </w:rPr>
        <w:t>&lt;/DocAmend&gt;</w:t>
      </w:r>
    </w:p>
    <w:p w14:paraId="4120FD86" w14:textId="77777777" w:rsidR="003F1540" w:rsidRPr="00E632E2" w:rsidRDefault="003F1540" w:rsidP="003F1540">
      <w:pPr>
        <w:pStyle w:val="NormalBold"/>
      </w:pPr>
      <w:r w:rsidRPr="00E632E2">
        <w:rPr>
          <w:rStyle w:val="HideTWBExt"/>
          <w:b w:val="0"/>
          <w:noProof w:val="0"/>
        </w:rPr>
        <w:t>&lt;Article&gt;</w:t>
      </w:r>
      <w:r w:rsidRPr="00E632E2">
        <w:t>Annex I – point 2</w:t>
      </w:r>
      <w:r w:rsidRPr="00E632E2">
        <w:rPr>
          <w:rStyle w:val="HideTWBExt"/>
          <w:b w:val="0"/>
          <w:noProof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3F1540" w:rsidRPr="00E632E2" w14:paraId="16F03F76" w14:textId="77777777" w:rsidTr="003F1540">
        <w:trPr>
          <w:jc w:val="center"/>
        </w:trPr>
        <w:tc>
          <w:tcPr>
            <w:tcW w:w="9752" w:type="dxa"/>
            <w:gridSpan w:val="2"/>
          </w:tcPr>
          <w:p w14:paraId="29AAC264" w14:textId="77777777" w:rsidR="003F1540" w:rsidRPr="00E632E2" w:rsidRDefault="003F1540">
            <w:pPr>
              <w:keepNext/>
            </w:pPr>
          </w:p>
        </w:tc>
      </w:tr>
      <w:tr w:rsidR="003F1540" w:rsidRPr="00E632E2" w14:paraId="3F778739" w14:textId="77777777" w:rsidTr="003F1540">
        <w:trPr>
          <w:jc w:val="center"/>
        </w:trPr>
        <w:tc>
          <w:tcPr>
            <w:tcW w:w="4876" w:type="dxa"/>
            <w:hideMark/>
          </w:tcPr>
          <w:p w14:paraId="19BF5023" w14:textId="77777777" w:rsidR="003F1540" w:rsidRPr="00E632E2" w:rsidRDefault="003F1540">
            <w:pPr>
              <w:pStyle w:val="ColumnHeading"/>
              <w:keepNext/>
            </w:pPr>
            <w:r w:rsidRPr="00E632E2">
              <w:t>Text proposed by the Commission</w:t>
            </w:r>
          </w:p>
        </w:tc>
        <w:tc>
          <w:tcPr>
            <w:tcW w:w="4876" w:type="dxa"/>
            <w:hideMark/>
          </w:tcPr>
          <w:p w14:paraId="5B720004" w14:textId="77777777" w:rsidR="003F1540" w:rsidRPr="00E632E2" w:rsidRDefault="003F1540">
            <w:pPr>
              <w:pStyle w:val="ColumnHeading"/>
              <w:keepNext/>
            </w:pPr>
            <w:r w:rsidRPr="00E632E2">
              <w:t>Amendment</w:t>
            </w:r>
          </w:p>
        </w:tc>
      </w:tr>
      <w:tr w:rsidR="003F1540" w:rsidRPr="00E632E2" w14:paraId="5DB16A00" w14:textId="77777777" w:rsidTr="003F1540">
        <w:trPr>
          <w:jc w:val="center"/>
        </w:trPr>
        <w:tc>
          <w:tcPr>
            <w:tcW w:w="4876" w:type="dxa"/>
            <w:hideMark/>
          </w:tcPr>
          <w:p w14:paraId="678B7384" w14:textId="77777777" w:rsidR="003F1540" w:rsidRPr="00E632E2" w:rsidRDefault="003F1540">
            <w:pPr>
              <w:pStyle w:val="Normal6"/>
            </w:pPr>
            <w:r w:rsidRPr="00E632E2">
              <w:t>2.</w:t>
            </w:r>
            <w:r w:rsidRPr="00E632E2">
              <w:tab/>
              <w:t>The administrator of a positive carbon impact benchmark, in addition to the obligations applicable to the administrator of a low carbon benchmark, shall disclose the positive carbon impact of each underlying asset included in the benchmark and shall specify the formula or calculation that is used to determine whether the emission savings exceed the investment asset's or company's carbon footprint ('positive carbon impact ratio').</w:t>
            </w:r>
          </w:p>
        </w:tc>
        <w:tc>
          <w:tcPr>
            <w:tcW w:w="4876" w:type="dxa"/>
            <w:hideMark/>
          </w:tcPr>
          <w:p w14:paraId="6BDB78AD" w14:textId="65B65978" w:rsidR="003F1540" w:rsidRPr="00E632E2" w:rsidRDefault="003F1540" w:rsidP="00A116ED">
            <w:pPr>
              <w:pStyle w:val="Normal6"/>
              <w:rPr>
                <w:szCs w:val="24"/>
              </w:rPr>
            </w:pPr>
            <w:r w:rsidRPr="00E632E2">
              <w:t>2.</w:t>
            </w:r>
            <w:r w:rsidRPr="00E632E2">
              <w:tab/>
              <w:t xml:space="preserve">The administrator of a positive carbon impact benchmark, in addition to the obligations applicable to the administrator of a low carbon benchmark, shall disclose the positive carbon impact of each underlying asset included in the benchmark and shall specify the formula or calculation that is used to determine whether the emission savings exceed the investment asset's or company's carbon footprint ('positive carbon impact ratio') </w:t>
            </w:r>
            <w:r w:rsidRPr="00E632E2">
              <w:rPr>
                <w:b/>
                <w:i/>
              </w:rPr>
              <w:t xml:space="preserve">and this in line with the Paris </w:t>
            </w:r>
            <w:r w:rsidR="00827092" w:rsidRPr="00E632E2">
              <w:rPr>
                <w:b/>
                <w:i/>
              </w:rPr>
              <w:t>Climate A</w:t>
            </w:r>
            <w:r w:rsidRPr="00E632E2">
              <w:rPr>
                <w:b/>
                <w:i/>
              </w:rPr>
              <w:t>greement c</w:t>
            </w:r>
            <w:r w:rsidR="007E37CB" w:rsidRPr="00E632E2">
              <w:rPr>
                <w:b/>
                <w:i/>
              </w:rPr>
              <w:t>ommitments as implemented in U</w:t>
            </w:r>
            <w:r w:rsidR="00A116ED" w:rsidRPr="00E632E2">
              <w:rPr>
                <w:b/>
                <w:i/>
              </w:rPr>
              <w:t>nion</w:t>
            </w:r>
            <w:r w:rsidR="007E37CB" w:rsidRPr="00E632E2">
              <w:rPr>
                <w:b/>
                <w:i/>
              </w:rPr>
              <w:t xml:space="preserve"> </w:t>
            </w:r>
            <w:r w:rsidRPr="00E632E2">
              <w:rPr>
                <w:b/>
                <w:i/>
              </w:rPr>
              <w:t>l</w:t>
            </w:r>
            <w:r w:rsidR="00A116ED" w:rsidRPr="00E632E2">
              <w:rPr>
                <w:b/>
                <w:i/>
              </w:rPr>
              <w:t>aw</w:t>
            </w:r>
            <w:r w:rsidRPr="00E632E2">
              <w:t>.</w:t>
            </w:r>
          </w:p>
        </w:tc>
      </w:tr>
    </w:tbl>
    <w:p w14:paraId="7A3C643A" w14:textId="77777777" w:rsidR="003F1540" w:rsidRPr="00E632E2" w:rsidRDefault="003F1540" w:rsidP="003F1540">
      <w:pPr>
        <w:pStyle w:val="Olang"/>
        <w:rPr>
          <w:noProof w:val="0"/>
          <w:szCs w:val="24"/>
        </w:rPr>
      </w:pPr>
      <w:r w:rsidRPr="00E632E2">
        <w:rPr>
          <w:noProof w:val="0"/>
          <w:szCs w:val="24"/>
        </w:rPr>
        <w:t xml:space="preserve">Or. </w:t>
      </w:r>
      <w:r w:rsidRPr="00E632E2">
        <w:rPr>
          <w:rStyle w:val="HideTWBExt"/>
          <w:noProof w:val="0"/>
        </w:rPr>
        <w:t>&lt;Original&gt;</w:t>
      </w:r>
      <w:r w:rsidRPr="00E632E2">
        <w:rPr>
          <w:rStyle w:val="HideTWBInt"/>
          <w:noProof w:val="0"/>
          <w:szCs w:val="24"/>
        </w:rPr>
        <w:t>{EN}</w:t>
      </w:r>
      <w:r w:rsidRPr="00E632E2">
        <w:rPr>
          <w:noProof w:val="0"/>
          <w:szCs w:val="24"/>
        </w:rPr>
        <w:t>en</w:t>
      </w:r>
      <w:r w:rsidRPr="00E632E2">
        <w:rPr>
          <w:rStyle w:val="HideTWBExt"/>
          <w:noProof w:val="0"/>
        </w:rPr>
        <w:t>&lt;/Original&gt;</w:t>
      </w:r>
    </w:p>
    <w:p w14:paraId="79DE0A4A" w14:textId="77777777" w:rsidR="002669B6" w:rsidRPr="00E632E2" w:rsidRDefault="003F1540" w:rsidP="003F1540">
      <w:r w:rsidRPr="00E632E2">
        <w:rPr>
          <w:rStyle w:val="HideTWBExt"/>
          <w:noProof w:val="0"/>
        </w:rPr>
        <w:t>&lt;/Amend&gt;</w:t>
      </w:r>
    </w:p>
    <w:p w14:paraId="563DB796" w14:textId="77777777" w:rsidR="002669B6" w:rsidRPr="00E632E2" w:rsidRDefault="002669B6" w:rsidP="002669B6">
      <w:r w:rsidRPr="00E632E2">
        <w:rPr>
          <w:rStyle w:val="HideTWBExt"/>
          <w:noProof w:val="0"/>
        </w:rPr>
        <w:t>&lt;/RepeatBlock-Amend&gt;</w:t>
      </w:r>
    </w:p>
    <w:p w14:paraId="18B8D554" w14:textId="77777777" w:rsidR="00502D2D" w:rsidRPr="00E632E2" w:rsidRDefault="00502D2D">
      <w:pPr>
        <w:widowControl/>
      </w:pPr>
      <w:r w:rsidRPr="00E632E2">
        <w:br w:type="page"/>
      </w:r>
    </w:p>
    <w:p w14:paraId="05DCB735" w14:textId="77777777" w:rsidR="002669B6" w:rsidRPr="00E632E2" w:rsidRDefault="00502D2D" w:rsidP="00502D2D">
      <w:pPr>
        <w:pStyle w:val="PageHeading"/>
      </w:pPr>
      <w:bookmarkStart w:id="3" w:name="_Toc526182538"/>
      <w:r w:rsidRPr="00E632E2">
        <w:lastRenderedPageBreak/>
        <w:t>EXPLANATORY STATEMENT</w:t>
      </w:r>
      <w:bookmarkEnd w:id="3"/>
    </w:p>
    <w:p w14:paraId="7F6D2EDD" w14:textId="77777777" w:rsidR="00502D2D" w:rsidRPr="00E632E2" w:rsidRDefault="00502D2D" w:rsidP="00502D2D"/>
    <w:p w14:paraId="1AABC07C" w14:textId="77777777" w:rsidR="00502D2D" w:rsidRPr="00E632E2" w:rsidRDefault="00502D2D" w:rsidP="00502D2D">
      <w:pPr>
        <w:jc w:val="both"/>
      </w:pPr>
      <w:r w:rsidRPr="00E632E2">
        <w:t xml:space="preserve">Ten years after the start of the biggest financial crisis of the 21th century, the global and European financial regulatory framework has altered dramatically. The sector itself has changed to a limited extend. Indeed, for example, in contrast to other economic sectors, a substantial policy debate about the role of the financial sector in promoting sustainability in light of the commitments of the Paris Agreement on climate change as implemented in EU-legislation is a recent occurrence. The financial services sector has a critical role to play in achieving the transition towards a low-carbon economy. This is one of the pre-eminent societal challenges of our times. To meet these, a change in culture is needed and it is essential that a standardised European approach is adopted to ensure that sustainable finance becomes the norm. </w:t>
      </w:r>
    </w:p>
    <w:p w14:paraId="4A04139D" w14:textId="77777777" w:rsidR="00502D2D" w:rsidRPr="00E632E2" w:rsidRDefault="00502D2D" w:rsidP="00502D2D">
      <w:pPr>
        <w:jc w:val="both"/>
      </w:pPr>
    </w:p>
    <w:p w14:paraId="19713B37" w14:textId="77777777" w:rsidR="00502D2D" w:rsidRPr="00E632E2" w:rsidRDefault="00502D2D" w:rsidP="00502D2D">
      <w:pPr>
        <w:jc w:val="both"/>
      </w:pPr>
      <w:r w:rsidRPr="00E632E2">
        <w:t>The Rapporteur welcomes the recommendations put forward by the High Level Expert Group on sustainable finance (HLEG), the Commission action plan on sustainable finance as well as their recent relevant legislative proposals, as important steps in the right direction.</w:t>
      </w:r>
    </w:p>
    <w:p w14:paraId="27F963E8" w14:textId="77777777" w:rsidR="00502D2D" w:rsidRPr="00E632E2" w:rsidRDefault="00502D2D" w:rsidP="00502D2D">
      <w:pPr>
        <w:jc w:val="both"/>
      </w:pPr>
    </w:p>
    <w:p w14:paraId="257A743B" w14:textId="77777777" w:rsidR="00502D2D" w:rsidRPr="00E632E2" w:rsidRDefault="00502D2D" w:rsidP="00502D2D">
      <w:pPr>
        <w:jc w:val="both"/>
      </w:pPr>
      <w:r w:rsidRPr="00E632E2">
        <w:t>In addition to the main financial players – such as banks, investment funds, pension funds – index providers, whose indexes alone help to channel trillions of Euros towards investment projects, have a key role to play. Indeed, financial benchmarks are cornerstones of global capital markets and, as stated by the European Commission, many investors rely on financial benchmarks, in particular in portfolio allocation and to measure the performance of financial products.</w:t>
      </w:r>
    </w:p>
    <w:p w14:paraId="65C9B0B5" w14:textId="77777777" w:rsidR="00502D2D" w:rsidRPr="00E632E2" w:rsidRDefault="00502D2D" w:rsidP="00502D2D">
      <w:pPr>
        <w:jc w:val="both"/>
      </w:pPr>
    </w:p>
    <w:p w14:paraId="058CEF37" w14:textId="77777777" w:rsidR="00502D2D" w:rsidRPr="00E632E2" w:rsidRDefault="00502D2D" w:rsidP="00502D2D">
      <w:pPr>
        <w:jc w:val="both"/>
      </w:pPr>
      <w:r w:rsidRPr="00E632E2">
        <w:t>At the same time, however, the Rapporteur agrees with the conclusions of the HLEG, which state that the current use of benchmarks is a key driver of short-termism in financial markets. As further highlighted by the HLEG, the Rapporteur believes that long-term risks and opportunities linked to sustainability and climate change are not properly reflected in market valuations and hence will not be reflected in market benchmarks. As a result, investment strategies based on traditional benchmarks will tend to follow the status quo and allocate capital to assets that are not necessarily aligned with long-term sustainable development objectives.</w:t>
      </w:r>
    </w:p>
    <w:p w14:paraId="0AC1D432" w14:textId="77777777" w:rsidR="00502D2D" w:rsidRPr="00E632E2" w:rsidRDefault="00502D2D" w:rsidP="00502D2D">
      <w:pPr>
        <w:jc w:val="both"/>
      </w:pPr>
    </w:p>
    <w:p w14:paraId="48F63304" w14:textId="77777777" w:rsidR="00502D2D" w:rsidRPr="00E632E2" w:rsidRDefault="00502D2D" w:rsidP="00502D2D">
      <w:pPr>
        <w:jc w:val="both"/>
      </w:pPr>
      <w:r w:rsidRPr="00E632E2">
        <w:t>Sticking to the status quo on the way capital is allocated based on financial benchmarks is therefore not an option.</w:t>
      </w:r>
    </w:p>
    <w:p w14:paraId="28100AC7" w14:textId="77777777" w:rsidR="00502D2D" w:rsidRPr="00E632E2" w:rsidRDefault="00502D2D" w:rsidP="00502D2D">
      <w:pPr>
        <w:jc w:val="both"/>
      </w:pPr>
    </w:p>
    <w:p w14:paraId="0A7A4478" w14:textId="77777777" w:rsidR="00502D2D" w:rsidRPr="00E632E2" w:rsidRDefault="00502D2D" w:rsidP="00502D2D">
      <w:pPr>
        <w:jc w:val="both"/>
      </w:pPr>
      <w:r w:rsidRPr="00E632E2">
        <w:t>To address this challenge, and to ensure more capital is channelled towards sustainable investments, the rapporteur welcomes the efforts undertaken by index providers in developing a wide range of indices aimed at capturing sustainability and climate considerations.</w:t>
      </w:r>
    </w:p>
    <w:p w14:paraId="0FA170B6" w14:textId="77777777" w:rsidR="00502D2D" w:rsidRPr="00E632E2" w:rsidRDefault="00502D2D" w:rsidP="00502D2D">
      <w:pPr>
        <w:jc w:val="both"/>
      </w:pPr>
    </w:p>
    <w:p w14:paraId="3F6DA3AD" w14:textId="77777777" w:rsidR="00502D2D" w:rsidRPr="00E632E2" w:rsidRDefault="00502D2D" w:rsidP="00502D2D">
      <w:pPr>
        <w:jc w:val="both"/>
      </w:pPr>
      <w:r w:rsidRPr="00E632E2">
        <w:t xml:space="preserve">Nonetheless, and despite its merits, the added value of these current low-carbon benchmarks is rather limited in the sense that these benchmarks often simply discard the most heavily-emitting industries (energy utilities, for instance) and merely focus on services or manufacturing with limited levels of emissions, rather than focussing on the financing of a new economic model compatible with the Paris Agreement commitments as implemented in the EU legislation. Therefore, many of these indices are viewed far from satisfactory as they are open to greenwashing and do not always take into account all types of emissions. </w:t>
      </w:r>
    </w:p>
    <w:p w14:paraId="6C2CE81B" w14:textId="77777777" w:rsidR="00502D2D" w:rsidRPr="00E632E2" w:rsidRDefault="00502D2D" w:rsidP="00502D2D">
      <w:pPr>
        <w:jc w:val="both"/>
      </w:pPr>
    </w:p>
    <w:p w14:paraId="11D13FDC" w14:textId="77777777" w:rsidR="00502D2D" w:rsidRPr="00E632E2" w:rsidRDefault="00502D2D" w:rsidP="00502D2D">
      <w:pPr>
        <w:jc w:val="both"/>
      </w:pPr>
      <w:r w:rsidRPr="00E632E2">
        <w:lastRenderedPageBreak/>
        <w:t>It is estimated that in the fields of climate and energy space alone an additional annual investment of EUR 180 billion is needed to meet the climate and energy targets by 2030.  Against this background, the rapporteur agrees with the European Commission that a substantial part of this flow will have to come from the private sector and that therefore, in order to avoid a fragmented, less effective approach, a European standardised regulatory framework is urgently needed.</w:t>
      </w:r>
    </w:p>
    <w:p w14:paraId="238B8BB4" w14:textId="77777777" w:rsidR="00502D2D" w:rsidRPr="00E632E2" w:rsidRDefault="00502D2D" w:rsidP="00502D2D">
      <w:pPr>
        <w:jc w:val="both"/>
      </w:pPr>
    </w:p>
    <w:p w14:paraId="3B7B3562" w14:textId="77777777" w:rsidR="00502D2D" w:rsidRPr="00E632E2" w:rsidRDefault="00502D2D" w:rsidP="00502D2D">
      <w:pPr>
        <w:jc w:val="both"/>
      </w:pPr>
      <w:r w:rsidRPr="00E632E2">
        <w:t>In view of avoiding any form of greenwashing, the Rapporteur welcomes the proposal put forward by the Commission as a first step towards introducing minimum standards for harmonising the methodology applicable to sustainable benchmarks.</w:t>
      </w:r>
    </w:p>
    <w:p w14:paraId="00BBC4E6" w14:textId="77777777" w:rsidR="00502D2D" w:rsidRPr="00E632E2" w:rsidRDefault="00502D2D" w:rsidP="00502D2D">
      <w:pPr>
        <w:jc w:val="both"/>
      </w:pPr>
    </w:p>
    <w:p w14:paraId="3E7D6C4B" w14:textId="77777777" w:rsidR="00502D2D" w:rsidRPr="00E632E2" w:rsidRDefault="00502D2D" w:rsidP="00502D2D">
      <w:pPr>
        <w:jc w:val="both"/>
      </w:pPr>
      <w:r w:rsidRPr="00E632E2">
        <w:t>However, in order to achieve the objectives set in the Paris Agreement, as implemented in EU legislation, it is critical that the European Parliament shows a significantly higher degree of ambition in line with the European Parliament's own-initiative report (INI-report) on sustainable finance. This ambition should be realistic, flexible and open to technological innovation, and should give at the same time the financial industry clarity and legal certainty around the direction of travel.</w:t>
      </w:r>
    </w:p>
    <w:p w14:paraId="6CB050B0" w14:textId="77777777" w:rsidR="00502D2D" w:rsidRPr="00E632E2" w:rsidRDefault="00502D2D" w:rsidP="00502D2D">
      <w:pPr>
        <w:jc w:val="both"/>
      </w:pPr>
    </w:p>
    <w:p w14:paraId="43145444" w14:textId="77777777" w:rsidR="00502D2D" w:rsidRPr="00E632E2" w:rsidRDefault="00502D2D" w:rsidP="00502D2D">
      <w:pPr>
        <w:jc w:val="both"/>
      </w:pPr>
      <w:r w:rsidRPr="00E632E2">
        <w:t>The Rapporteur proposes the following changes to the Commission proposal:</w:t>
      </w:r>
    </w:p>
    <w:p w14:paraId="7DF196EE" w14:textId="77777777" w:rsidR="00502D2D" w:rsidRPr="00E632E2" w:rsidRDefault="00502D2D" w:rsidP="00502D2D">
      <w:pPr>
        <w:jc w:val="both"/>
      </w:pPr>
    </w:p>
    <w:p w14:paraId="38382DAF" w14:textId="77777777" w:rsidR="00502D2D" w:rsidRPr="00E632E2" w:rsidRDefault="00502D2D" w:rsidP="00502D2D">
      <w:pPr>
        <w:jc w:val="both"/>
      </w:pPr>
      <w:r w:rsidRPr="00E632E2">
        <w:t>Firstly, as highlighted by the EP INI-report on sustainable finance (par27) all widely-used financial benchmarks do not consider environmental, social and governance (ESG) factors in their methodology. Indeed, as confirmed by the Index Industry Association (Survey, 30 June 2017), ESG-indexes represent only 0.3% of the index market, a very tiny niche. It is the Rapporteur’s conviction that all the elements of the ESG-definition are equally important. However, for pragmatic reasons – as measuring the ecological impact of investments is far more developed – it is preferable to focus in the first instance on the climate impact of benchmarks, and in particular on their alignment with the Paris Agreement commitments as implemented in EU legislation. At the same time, the Commission will be empowered to adopt a delegated act setting out the methodology for measuring the social and governance impact of financial benchmarks.</w:t>
      </w:r>
    </w:p>
    <w:p w14:paraId="5E3D6AEA" w14:textId="77777777" w:rsidR="00502D2D" w:rsidRPr="00E632E2" w:rsidRDefault="00502D2D" w:rsidP="00502D2D">
      <w:pPr>
        <w:jc w:val="both"/>
      </w:pPr>
    </w:p>
    <w:p w14:paraId="753B72C3" w14:textId="77777777" w:rsidR="00502D2D" w:rsidRPr="00E632E2" w:rsidRDefault="00502D2D" w:rsidP="00502D2D">
      <w:pPr>
        <w:jc w:val="both"/>
      </w:pPr>
      <w:r w:rsidRPr="00E632E2">
        <w:t xml:space="preserve">Despite several industry initiatives to take climate elements into account, it appears that traditional benchmarks today provide investment paths closer to the five degrees Celsius scenario than the two degree scenario. (Mirova study ‘Estimating portfolio coherence with climate scenario’s’, 2018). It is therefore critical that this proposal does not just focus on a niche market, but aims to bring the whole financial benchmark market in line with the Paris Agreement commitments as implemented in EU legislation. </w:t>
      </w:r>
    </w:p>
    <w:p w14:paraId="04AEA84B" w14:textId="77777777" w:rsidR="00502D2D" w:rsidRPr="00E632E2" w:rsidRDefault="00502D2D" w:rsidP="00502D2D">
      <w:pPr>
        <w:jc w:val="both"/>
      </w:pPr>
    </w:p>
    <w:p w14:paraId="3B7AE5B1" w14:textId="77777777" w:rsidR="00502D2D" w:rsidRPr="00E632E2" w:rsidRDefault="00502D2D" w:rsidP="00502D2D">
      <w:pPr>
        <w:jc w:val="both"/>
      </w:pPr>
      <w:r w:rsidRPr="00E632E2">
        <w:t>Therefore, it is the Rapporteur’s belief that by 2022, benchmark providers should have to ensure that all the benchmarks provided and published are aligned with the Paris Agreement commitments as implemented in EU legislation and this according to a standardised methodology which will be developed by the Commission in a delegated act published not later than two years after the entry into force of this regulation.</w:t>
      </w:r>
    </w:p>
    <w:p w14:paraId="74CA83BA" w14:textId="77777777" w:rsidR="00502D2D" w:rsidRPr="00E632E2" w:rsidRDefault="00502D2D" w:rsidP="00502D2D">
      <w:pPr>
        <w:jc w:val="both"/>
      </w:pPr>
    </w:p>
    <w:p w14:paraId="182C5AE7" w14:textId="77777777" w:rsidR="00502D2D" w:rsidRPr="00E632E2" w:rsidRDefault="00502D2D" w:rsidP="00502D2D">
      <w:pPr>
        <w:jc w:val="both"/>
      </w:pPr>
      <w:r w:rsidRPr="00E632E2">
        <w:t xml:space="preserve">The Rapporteur proposes, furthermore, that benchmark providers describe precisely in a standardised way in all the benchmark statements what the climate impact is of the benchmarks used and how these are to be aligned with the Paris Agreement commitments as implemented </w:t>
      </w:r>
      <w:r w:rsidRPr="00E632E2">
        <w:lastRenderedPageBreak/>
        <w:t xml:space="preserve">in EU legislation. </w:t>
      </w:r>
    </w:p>
    <w:p w14:paraId="78A80BC8" w14:textId="77777777" w:rsidR="00502D2D" w:rsidRPr="00E632E2" w:rsidRDefault="00502D2D" w:rsidP="00502D2D">
      <w:pPr>
        <w:jc w:val="both"/>
      </w:pPr>
    </w:p>
    <w:p w14:paraId="61D8FCE1" w14:textId="77777777" w:rsidR="00502D2D" w:rsidRPr="00E632E2" w:rsidRDefault="00502D2D" w:rsidP="00502D2D">
      <w:pPr>
        <w:jc w:val="both"/>
      </w:pPr>
      <w:r w:rsidRPr="00E632E2">
        <w:t xml:space="preserve">Secondly, to ensure future consistency and legal certainty, it is imperative that as and when the EU taxonomy regulation comes into force, there is coherence between the both texts. </w:t>
      </w:r>
    </w:p>
    <w:p w14:paraId="5C6A1C14" w14:textId="77777777" w:rsidR="00502D2D" w:rsidRPr="00E632E2" w:rsidRDefault="00502D2D" w:rsidP="00502D2D">
      <w:pPr>
        <w:jc w:val="both"/>
      </w:pPr>
    </w:p>
    <w:p w14:paraId="6DC40B06" w14:textId="77777777" w:rsidR="00502D2D" w:rsidRPr="00E632E2" w:rsidRDefault="00502D2D" w:rsidP="00502D2D">
      <w:pPr>
        <w:jc w:val="both"/>
      </w:pPr>
      <w:r w:rsidRPr="00E632E2">
        <w:t>Thirdly, with the rapid evolution in climate technology the Commission should investigate whether the benchmark sector is sufficiently competitive and should adopt, if appropriate, measures to boost the competitiveness of the sector. The rapporteur notes that competition could be hampered by the high level of fees charged by benchmark providers to their clients. Two years after the entry into force of this regulation, the European Securities and Markets Authority, in cooperation with national competent authorities, will produce a report analysing whether fees are totally transparent, non-discriminative and based on actual costs. Based on the findings of this report, the Commission will be empowered to adopt a delegated act outlining criteria to ensure fees charged by benchmark providers to their clients for the provision of benchmarks are totally transparent, impartial and based on actual costs.</w:t>
      </w:r>
    </w:p>
    <w:p w14:paraId="14E7C444" w14:textId="77777777" w:rsidR="00502D2D" w:rsidRPr="00E632E2" w:rsidRDefault="00502D2D" w:rsidP="00502D2D">
      <w:pPr>
        <w:jc w:val="both"/>
      </w:pPr>
    </w:p>
    <w:p w14:paraId="1A612B83" w14:textId="77777777" w:rsidR="00502D2D" w:rsidRPr="00E632E2" w:rsidRDefault="00502D2D" w:rsidP="00502D2D">
      <w:pPr>
        <w:jc w:val="both"/>
      </w:pPr>
      <w:r w:rsidRPr="00E632E2">
        <w:t>Finally, with the rapid evolution in climate technology it is essential that new innovations are integrated by the European Commission. This is the rationale behind having a review clause to analyse the impact of this new regulation in terms of making the financial benchmark sector aligned with the Paris agreement commitments as well as with the requirements set in the Regulation of the European Parliament and the European Council on the Governance of the Energy Union.</w:t>
      </w:r>
    </w:p>
    <w:sectPr w:rsidR="00502D2D" w:rsidRPr="00E632E2" w:rsidSect="001767E2">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code="9"/>
      <w:pgMar w:top="1134" w:right="1418" w:bottom="1418"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FE101" w14:textId="77777777" w:rsidR="00212DF2" w:rsidRPr="007245FA" w:rsidRDefault="00212DF2">
      <w:r w:rsidRPr="007245FA">
        <w:separator/>
      </w:r>
    </w:p>
  </w:endnote>
  <w:endnote w:type="continuationSeparator" w:id="0">
    <w:p w14:paraId="2CFF5F8B" w14:textId="77777777" w:rsidR="00212DF2" w:rsidRPr="007245FA" w:rsidRDefault="00212DF2">
      <w:r w:rsidRPr="007245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ACBF" w14:textId="14AC016E" w:rsidR="00996EA7" w:rsidRPr="00F4366E" w:rsidRDefault="00996EA7">
    <w:pPr>
      <w:pStyle w:val="Fuzeile"/>
      <w:tabs>
        <w:tab w:val="right" w:pos="9356"/>
      </w:tabs>
      <w:rPr>
        <w:lang w:val="fr-FR"/>
      </w:rPr>
    </w:pPr>
    <w:r w:rsidRPr="007245FA">
      <w:fldChar w:fldCharType="begin"/>
    </w:r>
    <w:r w:rsidRPr="00F4366E">
      <w:rPr>
        <w:lang w:val="fr-FR"/>
      </w:rPr>
      <w:instrText xml:space="preserve"> REF OutsideFooter </w:instrText>
    </w:r>
    <w:r w:rsidRPr="007245FA">
      <w:fldChar w:fldCharType="separate"/>
    </w:r>
    <w:r w:rsidR="00E1116C" w:rsidRPr="007245FA">
      <w:t>PE</w:t>
    </w:r>
    <w:r w:rsidR="00E1116C" w:rsidRPr="007245FA">
      <w:rPr>
        <w:rStyle w:val="HideTWBExt"/>
        <w:noProof w:val="0"/>
      </w:rPr>
      <w:t>&lt;NoPE&gt;</w:t>
    </w:r>
    <w:r w:rsidR="00E1116C" w:rsidRPr="007245FA">
      <w:t>628.440</w:t>
    </w:r>
    <w:r w:rsidR="00E1116C" w:rsidRPr="007245FA">
      <w:rPr>
        <w:rStyle w:val="HideTWBExt"/>
        <w:noProof w:val="0"/>
      </w:rPr>
      <w:t>&lt;/NoPE&gt;&lt;Version&gt;</w:t>
    </w:r>
    <w:r w:rsidR="00E1116C" w:rsidRPr="007245FA">
      <w:t>v01-00</w:t>
    </w:r>
    <w:r w:rsidR="00E1116C" w:rsidRPr="007245FA">
      <w:rPr>
        <w:rStyle w:val="HideTWBExt"/>
        <w:noProof w:val="0"/>
      </w:rPr>
      <w:t>&lt;/Version&gt;</w:t>
    </w:r>
    <w:r w:rsidRPr="007245FA">
      <w:fldChar w:fldCharType="end"/>
    </w:r>
    <w:r w:rsidRPr="00F4366E">
      <w:rPr>
        <w:lang w:val="fr-FR"/>
      </w:rPr>
      <w:tab/>
    </w:r>
    <w:r w:rsidRPr="007245FA">
      <w:fldChar w:fldCharType="begin"/>
    </w:r>
    <w:r w:rsidRPr="00F4366E">
      <w:rPr>
        <w:lang w:val="fr-FR"/>
      </w:rPr>
      <w:instrText xml:space="preserve"> PAGE </w:instrText>
    </w:r>
    <w:r w:rsidRPr="007245FA">
      <w:fldChar w:fldCharType="separate"/>
    </w:r>
    <w:r w:rsidR="003A5F7A">
      <w:rPr>
        <w:noProof/>
        <w:lang w:val="fr-FR"/>
      </w:rPr>
      <w:t>2</w:t>
    </w:r>
    <w:r w:rsidRPr="007245FA">
      <w:fldChar w:fldCharType="end"/>
    </w:r>
    <w:r w:rsidRPr="00F4366E">
      <w:rPr>
        <w:lang w:val="fr-FR"/>
      </w:rPr>
      <w:t>/</w:t>
    </w:r>
    <w:r w:rsidRPr="007245FA">
      <w:fldChar w:fldCharType="begin"/>
    </w:r>
    <w:r w:rsidRPr="00F4366E">
      <w:rPr>
        <w:lang w:val="fr-FR"/>
      </w:rPr>
      <w:instrText xml:space="preserve"> NUMPAGES </w:instrText>
    </w:r>
    <w:r w:rsidRPr="007245FA">
      <w:fldChar w:fldCharType="separate"/>
    </w:r>
    <w:r w:rsidR="003A5F7A">
      <w:rPr>
        <w:noProof/>
        <w:lang w:val="fr-FR"/>
      </w:rPr>
      <w:t>23</w:t>
    </w:r>
    <w:r w:rsidRPr="007245FA">
      <w:fldChar w:fldCharType="end"/>
    </w:r>
    <w:r w:rsidRPr="00F4366E">
      <w:rPr>
        <w:lang w:val="fr-FR"/>
      </w:rPr>
      <w:tab/>
    </w:r>
    <w:r w:rsidRPr="007245FA">
      <w:fldChar w:fldCharType="begin"/>
    </w:r>
    <w:r w:rsidRPr="00F4366E">
      <w:rPr>
        <w:lang w:val="fr-FR"/>
      </w:rPr>
      <w:instrText xml:space="preserve"> REF InsideFooter </w:instrText>
    </w:r>
    <w:r w:rsidRPr="007245FA">
      <w:fldChar w:fldCharType="separate"/>
    </w:r>
    <w:r w:rsidR="00E1116C" w:rsidRPr="007245FA">
      <w:rPr>
        <w:rStyle w:val="HideTWBExt"/>
        <w:noProof w:val="0"/>
      </w:rPr>
      <w:t>&lt;PathFdR&gt;</w:t>
    </w:r>
    <w:r w:rsidR="00E1116C" w:rsidRPr="007245FA">
      <w:t>PR\1164155EN.docx</w:t>
    </w:r>
    <w:r w:rsidR="00E1116C" w:rsidRPr="007245FA">
      <w:rPr>
        <w:rStyle w:val="HideTWBExt"/>
        <w:noProof w:val="0"/>
      </w:rPr>
      <w:t>&lt;/PathFdR&gt;</w:t>
    </w:r>
    <w:r w:rsidRPr="007245FA">
      <w:fldChar w:fldCharType="end"/>
    </w:r>
  </w:p>
  <w:p w14:paraId="32670304" w14:textId="54BD7D8C" w:rsidR="00996EA7" w:rsidRPr="001E1AA5" w:rsidRDefault="00996EA7">
    <w:pPr>
      <w:pStyle w:val="Footer2"/>
      <w:rPr>
        <w:lang w:val="fr-FR"/>
      </w:rPr>
    </w:pPr>
    <w:r>
      <w:fldChar w:fldCharType="begin"/>
    </w:r>
    <w:r w:rsidRPr="001E1AA5">
      <w:rPr>
        <w:lang w:val="fr-FR"/>
      </w:rPr>
      <w:instrText xml:space="preserve"> DOCPROPERTY "&lt;Extension&gt;" </w:instrText>
    </w:r>
    <w:r>
      <w:fldChar w:fldCharType="separate"/>
    </w:r>
    <w:r w:rsidR="00E1116C">
      <w:rPr>
        <w:lang w:val="fr-FR"/>
      </w:rPr>
      <w:t>EN</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054B" w14:textId="18C9C6B9" w:rsidR="00996EA7" w:rsidRPr="007245FA" w:rsidRDefault="00996EA7">
    <w:pPr>
      <w:pStyle w:val="Fuzeile"/>
      <w:tabs>
        <w:tab w:val="right" w:pos="9356"/>
      </w:tabs>
    </w:pPr>
    <w:r>
      <w:rPr>
        <w:rStyle w:val="HideTWBExt"/>
        <w:noProof w:val="0"/>
      </w:rPr>
      <w:fldChar w:fldCharType="begin"/>
    </w:r>
    <w:r>
      <w:rPr>
        <w:rStyle w:val="HideTWBExt"/>
        <w:noProof w:val="0"/>
      </w:rPr>
      <w:instrText xml:space="preserve"> REF InsideFooter </w:instrText>
    </w:r>
    <w:r>
      <w:rPr>
        <w:rStyle w:val="HideTWBExt"/>
        <w:noProof w:val="0"/>
      </w:rPr>
      <w:fldChar w:fldCharType="separate"/>
    </w:r>
    <w:r w:rsidR="00E1116C" w:rsidRPr="007245FA">
      <w:rPr>
        <w:rStyle w:val="HideTWBExt"/>
        <w:noProof w:val="0"/>
      </w:rPr>
      <w:t>&lt;PathFdR&gt;</w:t>
    </w:r>
    <w:r w:rsidR="00E1116C" w:rsidRPr="007245FA">
      <w:t>PR\1164155EN.docx</w:t>
    </w:r>
    <w:r w:rsidR="00E1116C" w:rsidRPr="007245FA">
      <w:rPr>
        <w:rStyle w:val="HideTWBExt"/>
        <w:noProof w:val="0"/>
      </w:rPr>
      <w:t>&lt;/PathFdR&gt;</w:t>
    </w:r>
    <w:r>
      <w:rPr>
        <w:rStyle w:val="HideTWBExt"/>
        <w:noProof w:val="0"/>
      </w:rPr>
      <w:fldChar w:fldCharType="end"/>
    </w:r>
    <w:r w:rsidRPr="007245FA">
      <w:tab/>
    </w:r>
    <w:r w:rsidRPr="007245FA">
      <w:fldChar w:fldCharType="begin"/>
    </w:r>
    <w:r w:rsidRPr="007245FA">
      <w:instrText xml:space="preserve"> PAGE </w:instrText>
    </w:r>
    <w:r w:rsidRPr="007245FA">
      <w:fldChar w:fldCharType="separate"/>
    </w:r>
    <w:r w:rsidR="003A5F7A">
      <w:rPr>
        <w:noProof/>
      </w:rPr>
      <w:t>21</w:t>
    </w:r>
    <w:r w:rsidRPr="007245FA">
      <w:fldChar w:fldCharType="end"/>
    </w:r>
    <w:r w:rsidRPr="007245FA">
      <w:t>/</w:t>
    </w:r>
    <w:r>
      <w:rPr>
        <w:noProof/>
      </w:rPr>
      <w:fldChar w:fldCharType="begin"/>
    </w:r>
    <w:r>
      <w:rPr>
        <w:noProof/>
      </w:rPr>
      <w:instrText xml:space="preserve"> NUMPAGES </w:instrText>
    </w:r>
    <w:r>
      <w:rPr>
        <w:noProof/>
      </w:rPr>
      <w:fldChar w:fldCharType="separate"/>
    </w:r>
    <w:r w:rsidR="003A5F7A">
      <w:rPr>
        <w:noProof/>
      </w:rPr>
      <w:t>23</w:t>
    </w:r>
    <w:r>
      <w:rPr>
        <w:noProof/>
      </w:rPr>
      <w:fldChar w:fldCharType="end"/>
    </w:r>
    <w:r w:rsidRPr="007245FA">
      <w:tab/>
    </w:r>
    <w:r w:rsidR="00212DF2">
      <w:fldChar w:fldCharType="begin"/>
    </w:r>
    <w:r w:rsidR="00212DF2">
      <w:instrText xml:space="preserve"> REF OutsideFooter </w:instrText>
    </w:r>
    <w:r w:rsidR="00212DF2">
      <w:fldChar w:fldCharType="separate"/>
    </w:r>
    <w:r w:rsidR="00E1116C" w:rsidRPr="007245FA">
      <w:t>PE</w:t>
    </w:r>
    <w:r w:rsidR="00E1116C" w:rsidRPr="007245FA">
      <w:rPr>
        <w:rStyle w:val="HideTWBExt"/>
        <w:noProof w:val="0"/>
      </w:rPr>
      <w:t>&lt;NoPE&gt;</w:t>
    </w:r>
    <w:r w:rsidR="00E1116C" w:rsidRPr="007245FA">
      <w:t>628.440</w:t>
    </w:r>
    <w:r w:rsidR="00E1116C" w:rsidRPr="007245FA">
      <w:rPr>
        <w:rStyle w:val="HideTWBExt"/>
        <w:noProof w:val="0"/>
      </w:rPr>
      <w:t>&lt;/NoPE&gt;&lt;Version&gt;</w:t>
    </w:r>
    <w:r w:rsidR="00E1116C" w:rsidRPr="007245FA">
      <w:t>v01-00</w:t>
    </w:r>
    <w:r w:rsidR="00E1116C" w:rsidRPr="007245FA">
      <w:rPr>
        <w:rStyle w:val="HideTWBExt"/>
        <w:noProof w:val="0"/>
      </w:rPr>
      <w:t>&lt;/Version&gt;</w:t>
    </w:r>
    <w:r w:rsidR="00212DF2">
      <w:rPr>
        <w:rStyle w:val="HideTWBExt"/>
        <w:noProof w:val="0"/>
      </w:rPr>
      <w:fldChar w:fldCharType="end"/>
    </w:r>
  </w:p>
  <w:p w14:paraId="776CFB0A" w14:textId="66BAC334" w:rsidR="00996EA7" w:rsidRPr="007245FA" w:rsidRDefault="00996EA7">
    <w:pPr>
      <w:pStyle w:val="Footer2"/>
    </w:pPr>
    <w:r w:rsidRPr="007245FA">
      <w:tab/>
    </w:r>
    <w:r w:rsidR="00212DF2">
      <w:fldChar w:fldCharType="begin"/>
    </w:r>
    <w:r w:rsidR="00212DF2">
      <w:instrText xml:space="preserve"> DOCPROPERTY "&lt;Extension&gt;" </w:instrText>
    </w:r>
    <w:r w:rsidR="00212DF2">
      <w:fldChar w:fldCharType="separate"/>
    </w:r>
    <w:r w:rsidR="00E1116C">
      <w:t>EN</w:t>
    </w:r>
    <w:r w:rsidR="00212DF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E4E9" w14:textId="77777777" w:rsidR="00996EA7" w:rsidRPr="007245FA" w:rsidRDefault="00996EA7">
    <w:pPr>
      <w:pStyle w:val="Fuzeile"/>
    </w:pPr>
    <w:bookmarkStart w:id="4" w:name="InsideFooter"/>
    <w:r w:rsidRPr="007245FA">
      <w:rPr>
        <w:rStyle w:val="HideTWBExt"/>
        <w:noProof w:val="0"/>
      </w:rPr>
      <w:t>&lt;PathFdR&gt;</w:t>
    </w:r>
    <w:r w:rsidRPr="007245FA">
      <w:t>PR\1164155EN.docx</w:t>
    </w:r>
    <w:r w:rsidRPr="007245FA">
      <w:rPr>
        <w:rStyle w:val="HideTWBExt"/>
        <w:noProof w:val="0"/>
      </w:rPr>
      <w:t>&lt;/PathFdR&gt;</w:t>
    </w:r>
    <w:bookmarkEnd w:id="4"/>
    <w:r w:rsidRPr="007245FA">
      <w:tab/>
    </w:r>
    <w:r w:rsidRPr="007245FA">
      <w:tab/>
    </w:r>
    <w:bookmarkStart w:id="5" w:name="OutsideFooter"/>
    <w:r w:rsidRPr="007245FA">
      <w:t>PE</w:t>
    </w:r>
    <w:r w:rsidRPr="007245FA">
      <w:rPr>
        <w:rStyle w:val="HideTWBExt"/>
        <w:noProof w:val="0"/>
      </w:rPr>
      <w:t>&lt;NoPE&gt;</w:t>
    </w:r>
    <w:r w:rsidRPr="007245FA">
      <w:t>628.440</w:t>
    </w:r>
    <w:r w:rsidRPr="007245FA">
      <w:rPr>
        <w:rStyle w:val="HideTWBExt"/>
        <w:noProof w:val="0"/>
      </w:rPr>
      <w:t>&lt;/NoPE&gt;&lt;Version&gt;</w:t>
    </w:r>
    <w:r w:rsidRPr="007245FA">
      <w:t>v01-00</w:t>
    </w:r>
    <w:r w:rsidRPr="007245FA">
      <w:rPr>
        <w:rStyle w:val="HideTWBExt"/>
        <w:noProof w:val="0"/>
      </w:rPr>
      <w:t>&lt;/Version&gt;</w:t>
    </w:r>
    <w:bookmarkEnd w:id="5"/>
  </w:p>
  <w:p w14:paraId="4CEF68E7" w14:textId="398B9165" w:rsidR="00996EA7" w:rsidRPr="007245FA" w:rsidRDefault="00212DF2" w:rsidP="00461601">
    <w:pPr>
      <w:pStyle w:val="Footer2"/>
      <w:tabs>
        <w:tab w:val="center" w:pos="4536"/>
      </w:tabs>
    </w:pPr>
    <w:r>
      <w:fldChar w:fldCharType="begin"/>
    </w:r>
    <w:r>
      <w:instrText xml:space="preserve"> DOCPROPERTY "&lt;Extension&gt;" </w:instrText>
    </w:r>
    <w:r>
      <w:fldChar w:fldCharType="separate"/>
    </w:r>
    <w:r w:rsidR="00E1116C">
      <w:t>EN</w:t>
    </w:r>
    <w:r>
      <w:fldChar w:fldCharType="end"/>
    </w:r>
    <w:r w:rsidR="00996EA7" w:rsidRPr="007245FA">
      <w:rPr>
        <w:color w:val="C0C0C0"/>
      </w:rPr>
      <w:tab/>
    </w:r>
    <w:r w:rsidR="00996EA7" w:rsidRPr="007245FA">
      <w:rPr>
        <w:b w:val="0"/>
        <w:i/>
        <w:color w:val="C0C0C0"/>
        <w:sz w:val="22"/>
        <w:szCs w:val="22"/>
      </w:rPr>
      <w:t>United in diversity</w:t>
    </w:r>
    <w:r w:rsidR="00996EA7" w:rsidRPr="007245FA">
      <w:rPr>
        <w:color w:val="C0C0C0"/>
      </w:rPr>
      <w:tab/>
    </w:r>
    <w:r>
      <w:fldChar w:fldCharType="begin"/>
    </w:r>
    <w:r>
      <w:instrText xml:space="preserve"> DOCPROPERTY "&lt;Extension&gt;" </w:instrText>
    </w:r>
    <w:r>
      <w:fldChar w:fldCharType="separate"/>
    </w:r>
    <w:r w:rsidR="00E1116C">
      <w:t>EN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4963" w14:textId="77777777" w:rsidR="00212DF2" w:rsidRPr="007245FA" w:rsidRDefault="00212DF2">
      <w:r w:rsidRPr="007245FA">
        <w:separator/>
      </w:r>
    </w:p>
  </w:footnote>
  <w:footnote w:type="continuationSeparator" w:id="0">
    <w:p w14:paraId="27DE4BF9" w14:textId="77777777" w:rsidR="00212DF2" w:rsidRPr="007245FA" w:rsidRDefault="00212DF2">
      <w:r w:rsidRPr="007245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8161" w14:textId="77777777" w:rsidR="00E1116C" w:rsidRDefault="00E111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7FB19" w14:textId="77777777" w:rsidR="00E1116C" w:rsidRDefault="00E1116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F9E3" w14:textId="77777777" w:rsidR="00E1116C" w:rsidRDefault="00E111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ACTMNU" w:val=" 2"/>
    <w:docVar w:name="CJMNU" w:val="1"/>
    <w:docVar w:name="COMKEY" w:val="ECON"/>
    <w:docVar w:name="CopyToNetwork" w:val="-1"/>
    <w:docVar w:name="CVar" w:val="3"/>
    <w:docVar w:name="DOCMNU" w:val=" 1"/>
    <w:docVar w:name="EPSTATMNU" w:val=" 1"/>
    <w:docVar w:name="iNoAmend" w:val="3"/>
    <w:docVar w:name="INSTITUTIONSMNU" w:val=" 2"/>
    <w:docVar w:name="JURI1MNU" w:val=" 2"/>
    <w:docVar w:name="JURI2MNU" w:val=" 2"/>
    <w:docVar w:name="LastEditedSection" w:val=" 1"/>
    <w:docVar w:name="ORLANGKEY" w:val="EN"/>
    <w:docVar w:name="ORLANGMNU" w:val=" 1"/>
    <w:docVar w:name="OTHERSTATMNU" w:val=" 4"/>
    <w:docVar w:name="PARLIAMENTSMNU" w:val=" 2"/>
    <w:docVar w:name="RECONSULTMNU" w:val=" 1"/>
    <w:docVar w:name="RepeatBlock-Amend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85\fbidi \froman\fcharset238\fprq2 Times New Roman CE;}{\f286\fbidi \froman\fcharset204\fprq2 Times New Roman Cyr;}_x000d__x000a_{\f288\fbidi \froman\fcharset161\fprq2 Times New Roman Greek;}{\f289\fbidi \froman\fcharset162\fprq2 Times New Roman Tur;}{\f290\fbidi \froman\fcharset177\fprq2 Times New Roman (Hebrew);}{\f291\fbidi \froman\fcharset178\fprq2 Times New Roman (Arabic);}_x000d__x000a_{\f292\fbidi \froman\fcharset186\fprq2 Times New Roman Baltic;}{\f293\fbidi \froman\fcharset163\fprq2 Times New Roman (Vietnamese);}{\f295\fbidi \fswiss\fcharset238\fprq2 Arial CE;}{\f296\fbidi \fswiss\fcharset204\fprq2 Arial Cyr;}_x000d__x000a_{\f298\fbidi \fswiss\fcharset161\fprq2 Arial Greek;}{\f299\fbidi \fswiss\fcharset162\fprq2 Arial Tur;}{\f300\fbidi \fswiss\fcharset177\fprq2 Arial (Hebrew);}{\f301\fbidi \fswiss\fcharset178\fprq2 Arial (Arabic);}_x000d__x000a_{\f302\fbidi \fswiss\fcharset186\fprq2 Arial Baltic;}{\f303\fbidi \fswiss\fcharset163\fprq2 Arial (Vietnamese);}{\f625\fbidi \froman\fcharset238\fprq2 Cambria Math CE;}{\f626\fbidi \froman\fcharset204\fprq2 Cambria Math Cyr;}_x000d__x000a_{\f628\fbidi \froman\fcharset161\fprq2 Cambria Math Greek;}{\f629\fbidi \froman\fcharset162\fprq2 Cambria Math Tur;}{\f632\fbidi \froman\fcharset186\fprq2 Cambria Math Baltic;}{\f633\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277201 HideTWBExt;}{\*\cs16 \additive \v\cf15 \spriority0 \styrsid8277201 HideTWBInt;}{\s17\ql \li0\ri0\sa120\nowidctlpar\wrapdefault\aspalpha\aspnum\faauto\adjustright\rin0\lin0\itap0 _x000d__x000a_\rtlch\fcs1 \af0\afs20\alang1025 \ltrch\fcs0 \fs24\lang2057\langfe2057\cgrid\langnp2057\langfenp2057 \sbasedon0 \snext17 \slink18 \spriority0 \styrsid8277201 Normal6;}{\*\cs18 \additive \fs24 \slink17 \slocked \spriority0 \styrsid8277201 Normal6 Char;}{_x000d__x000a_\s19\ql \li0\ri0\nowidctlpar\wrapdefault\aspalpha\aspnum\faauto\adjustright\rin0\lin0\itap0 \rtlch\fcs1 \af0\afs20\alang1025 \ltrch\fcs0 \b\fs24\lang2057\langfe2057\cgrid\langnp2057\langfenp2057 \sbasedon0 \snext19 \slink20 \spriority0 \styrsid8277201 _x000d__x000a_NormalBold;}{\*\cs20 \additive \b\fs24 \slink19 \slocked \spriority0 \styrsid8277201 NormalBold Char;}{\s21\ql \li0\ri0\sb240\nowidctlpar\wrapdefault\aspalpha\aspnum\faauto\adjustright\rin0\lin0\itap0 \rtlch\fcs1 \af0\afs20\alang1025 \ltrch\fcs0 _x000d__x000a_\i\fs24\lang2057\langfe2057\cgrid\langnp2057\langfenp2057 \sbasedon0 \snext21 \spriority0 \styrsid8277201 Normal12Italic;}{\s22\qc \li0\ri0\sb240\nowidctlpar\wrapdefault\aspalpha\aspnum\faauto\adjustright\rin0\lin0\itap0 \rtlch\fcs1 \af0\afs20\alang1025 _x000d__x000a_\ltrch\fcs0 \i\fs24\lang2057\langfe2057\cgrid\langnp2057\langfenp2057 \sbasedon0 \snext22 \spriority0 \styrsid8277201 CrossRef;}{\s23\qc \li0\ri0\sb240\keepn\nowidctlpar\wrapdefault\aspalpha\aspnum\faauto\adjustright\rin0\lin0\itap0 \rtlch\fcs1 _x000d__x000a_\af0\afs20\alang1025 \ltrch\fcs0 \i\fs24\lang2057\langfe2057\cgrid\langnp2057\langfenp2057 \sbasedon0 \snext0 \spriority0 \styrsid8277201 JustificationTitle;}{_x000d__x000a_\s24\qr \li0\ri0\sb240\sa240\nowidctlpar\wrapdefault\aspalpha\aspnum\faauto\adjustright\rin0\lin0\itap0 \rtlch\fcs1 \af0\afs20\alang1025 \ltrch\fcs0 \fs24\lang1024\langfe1024\cgrid\noproof\langnp2057\langfenp2057 _x000d__x000a_\sbasedon0 \snext24 \spriority0 \styrsid8277201 Olang;}{\s25\qc \li0\ri0\sa240\nowidctlpar\wrapdefault\aspalpha\aspnum\faauto\adjustright\rin0\lin0\itap0 \rtlch\fcs1 \af0\afs20\alang1025 \ltrch\fcs0 _x000d__x000a_\i\fs24\lang2057\langfe2057\cgrid\langnp2057\langfenp2057 \sbasedon0 \snext25 \spriority0 \styrsid8277201 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8277201 AMNumberTabs;}{\s27\ql \li0\ri0\sb240\nowidctlpar\wrapdefault\aspalpha\aspnum\faauto\adjustright\rin0\lin0\itap0 \rtlch\fcs1 _x000d__x000a_\af0\afs20\alang1025 \ltrch\fcs0 \b\fs24\lang2057\langfe2057\cgrid\langnp2057\langfenp2057 \sbasedon0 \snext27 \spriority0 \styrsid8277201 NormalBold12b;}}{\*\rsidtbl \rsid24658\rsid735077\rsid2892074\rsid4666813\rsid6305699\rsid6641733\rsid8277201_x000d__x000a_\rsid9636012\rsid11215221\rsid12154954\rsid14424199\rsid15204470\rsid15285974\rsid15950462\rsid16324206\rsid16662270}{\mmathPr\mmathFont34\mbrkBin0\mbrkBinSub0\msmallFrac0\mdispDef1\mlMargin0\mrMargin0\mdefJc1\mwrapIndent1440\mintLim0\mnaryLim1}{\info_x000d__x000a_{\author ILIEVA Kunka}{\operator ILIEVA Kunka}{\creatim\yr2018\mo7\dy10\hr17\min31}{\revtim\yr2018\mo7\dy10\hr17\min31}{\version1}{\edmins0}{\nofpages1}{\nofwords56}{\nofchars644}{\*\company European Parliament}{\nofcharsws647}{\vern95}}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277201\utinl \fet0{\*\wgrffmtfilter 013f}\ilfomacatclnup0{\*\template C:\\Users\\kuilieva\\AppData\\Local\\Temp\\Blank1.dot}{\*\ftnsep \ltrpar \pard\plain \ltrpar_x000d__x000a_\ql \li0\ri0\widctlpar\wrapdefault\aspalpha\aspnum\faauto\adjustright\rin0\lin0\itap0 \rtlch\fcs1 \af0\afs20\alang1025 \ltrch\fcs0 \fs24\lang2057\langfe2057\cgrid\langnp2057\langfenp2057 {\rtlch\fcs1 \af0 \ltrch\fcs0 \insrsid6305699 \chftnsep _x000d__x000a_\par }}{\*\ftnsepc \ltrpar \pard\plain \ltrpar\ql \li0\ri0\widctlpar\wrapdefault\aspalpha\aspnum\faauto\adjustright\rin0\lin0\itap0 \rtlch\fcs1 \af0\afs20\alang1025 \ltrch\fcs0 \fs24\lang2057\langfe2057\cgrid\langnp2057\langfenp2057 {\rtlch\fcs1 \af0 _x000d__x000a_\ltrch\fcs0 \insrsid6305699 \chftnsepc _x000d__x000a_\par }}{\*\aftnsep \ltrpar \pard\plain \ltrpar\ql \li0\ri0\widctlpar\wrapdefault\aspalpha\aspnum\faauto\adjustright\rin0\lin0\itap0 \rtlch\fcs1 \af0\afs20\alang1025 \ltrch\fcs0 \fs24\lang2057\langfe2057\cgrid\langnp2057\langfenp2057 {\rtlch\fcs1 \af0 _x000d__x000a_\ltrch\fcs0 \insrsid6305699 \chftnsep _x000d__x000a_\par }}{\*\aftnsepc \ltrpar \pard\plain \ltrpar\ql \li0\ri0\widctlpar\wrapdefault\aspalpha\aspnum\faauto\adjustright\rin0\lin0\itap0 \rtlch\fcs1 \af0\afs20\alang1025 \ltrch\fcs0 \fs24\lang2057\langfe2057\cgrid\langnp2057\langfenp2057 {\rtlch\fcs1 \af0 _x000d__x000a_\ltrch\fcs0 \insrsid6305699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6\ql \li0\ri0\sb240\keepn\nowidctlpar\tx879\tx936\tx1021\tx1077\tx1134\tx1191\tx1247\tx1304\tx1361\tx1418\tx1474\tx1531\tx1588\tx1644\tx1701\tx1758\tx1814\tx1871\tx2070\tx2126\tx3374\tx3430\wrapdefault\aspalpha\aspnum\faauto\adjustright\rin0_x000d__x000a_\lin0\itap0\pararsid8277201 \rtlch\fcs1 \af0\afs20\alang1025 \ltrch\fcs0 \b\fs24\lang2057\langfe2057\cgrid\langnp2057\langfenp2057 {\rtlch\fcs1 \af0 \ltrch\fcs0 \cs15\b0\v\f1\fs20\cf9\insrsid8277201\charrsid16611862 {\*\bkmkstart restart}&lt;Amend&gt;}{_x000d__x000a_\rtlch\fcs1 \af0 \ltrch\fcs0 \insrsid8277201\charrsid16611862 Amendment\tab \tab }{\rtlch\fcs1 \af0 \ltrch\fcs0 \cs15\b0\v\f1\fs20\cf9\insrsid8277201\charrsid16611862 &lt;NumAm&gt;}{\rtlch\fcs1 \af0 \ltrch\fcs0 \insrsid8277201\charrsid16611862 #}{\rtlch\fcs1 _x000d__x000a_\af0 \ltrch\fcs0 \cs16\v\cf15\insrsid8277201\charrsid16611862 ENMIENDA@NRAM@}{\rtlch\fcs1 \af0 \ltrch\fcs0 \insrsid8277201\charrsid16611862 #}{\rtlch\fcs1 \af0 \ltrch\fcs0 \cs15\b0\v\f1\fs20\cf9\insrsid8277201\charrsid16611862 &lt;/NumAm&gt;}{\rtlch\fcs1 \af0 _x000d__x000a_\ltrch\fcs0 \insrsid8277201\charrsid16611862 _x000d__x000a_\par }\pard\plain \ltrpar\s27\ql \li0\ri0\sb240\keepn\nowidctlpar\wrapdefault\aspalpha\aspnum\faauto\adjustright\rin0\lin0\itap0\pararsid8277201 \rtlch\fcs1 \af0\afs20\alang1025 \ltrch\fcs0 \b\fs24\lang2057\langfe2057\cgrid\langnp2057\langfenp2057 {_x000d__x000a_\rtlch\fcs1 \af0 \ltrch\fcs0 \cs15\b0\v\f1\fs20\cf9\insrsid8277201\charrsid16611862 &lt;DocAmend&gt;}{\rtlch\fcs1 \af0 \ltrch\fcs0 \insrsid8277201\charrsid16611862 Proposal for a #}{\rtlch\fcs1 \af0 \ltrch\fcs0 \cs16\v\cf15\insrsid8277201\charrsid16611862 _x000d__x000a_MNU[DOC1][DOC2][DOC3]@DOCMSG@DOCMNU}{\rtlch\fcs1 \af0 \ltrch\fcs0 \insrsid8277201\charrsid16611862 ##}{\rtlch\fcs1 \af0 \ltrch\fcs0 \cs16\v\cf15\insrsid8277201\charrsid16611862 MNU[AMACTYES][NOTAPP]@CHOICE@AMACTMNU}{\rtlch\fcs1 \af0 \ltrch\fcs0 _x000d__x000a_\insrsid8277201\charrsid16611862 #}{\rtlch\fcs1 \af0 \ltrch\fcs0 \cs15\b0\v\f1\fs20\cf9\insrsid8277201\charrsid16611862 &lt;/DocAmend&gt;}{\rtlch\fcs1 \af0 \ltrch\fcs0 \insrsid8277201\charrsid16611862 _x000d__x000a_\par }\pard\plain \ltrpar\s19\ql \li0\ri0\keepn\nowidctlpar\wrapdefault\aspalpha\aspnum\faauto\adjustright\rin0\lin0\itap0\pararsid8277201 \rtlch\fcs1 \af0\afs20\alang1025 \ltrch\fcs0 \b\fs24\lang2057\langfe2057\cgrid\langnp2057\langfenp2057 {\rtlch\fcs1 \af0 _x000d__x000a_\ltrch\fcs0 \cs15\b0\v\f1\fs20\cf9\insrsid8277201\charrsid16611862 &lt;Article&gt;}{\rtlch\fcs1 \af0 \ltrch\fcs0 \insrsid8277201\charrsid16611862 #}{\rtlch\fcs1 \af0 \ltrch\fcs0 \cs16\v\cf15\insrsid8277201\charrsid16611862 _x000d__x000a_MNU[AMACTPARTYES][AMACTPARTNO]@CHOICE@AMACTMNU}{\rtlch\fcs1 \af0 \ltrch\fcs0 \insrsid8277201\charrsid16611862 #}{\rtlch\fcs1 \af0 \ltrch\fcs0 \cs15\b0\v\f1\fs20\cf9\insrsid8277201\charrsid16611862 &lt;/Article&gt;}{\rtlch\fcs1 \af0 \ltrch\fcs0 _x000d__x000a_\insrsid8277201\charrsid16611862 _x000d__x000a_\par }\pard\plain \ltrpar\ql \li0\ri0\keepn\widctlpar\wrapdefault\aspalpha\aspnum\faauto\adjustright\rin0\lin0\itap0\pararsid8277201 \rtlch\fcs1 \af0\afs20\alang1025 \ltrch\fcs0 \fs24\lang2057\langfe2057\cgrid\langnp2057\langfenp2057 {\rtlch\fcs1 \af0 _x000d__x000a_\ltrch\fcs0 \cs15\v\f1\fs20\cf9\insrsid8277201\charrsid16611862 &lt;DocAmend2&gt;&lt;OptDel&gt;}{\rtlch\fcs1 \af0 \ltrch\fcs0 \insrsid8277201\charrsid16611862 #}{\rtlch\fcs1 \af0 \ltrch\fcs0 \cs16\v\cf15\insrsid8277201\charrsid16611862 _x000d__x000a_MNU[OPTNRACTYES][NOTAPP]@CHOICE@AMACTMNU}{\rtlch\fcs1 \af0 \ltrch\fcs0 \insrsid8277201\charrsid16611862 #}{\rtlch\fcs1 \af0 \ltrch\fcs0 \cs15\v\f1\fs20\cf9\insrsid8277201\charrsid16611862 &lt;/OptDel&gt;&lt;/DocAmend2&gt;}{\rtlch\fcs1 \af0 \ltrch\fcs0 _x000d__x000a_\insrsid8277201\charrsid16611862 _x000d__x000a_\par }\pard \ltrpar\ql \li0\ri0\widctlpar\wrapdefault\aspalpha\aspnum\faauto\adjustright\rin0\lin0\itap0\pararsid8277201 {\rtlch\fcs1 \af0 \ltrch\fcs0 \cs15\v\f1\fs20\cf9\insrsid8277201\charrsid16611862 &lt;Article2&gt;&lt;OptDel&gt;}{\rtlch\fcs1 \af0 \ltrch\fcs0 _x000d__x000a_\insrsid8277201\charrsid16611862 #}{\rtlch\fcs1 \af0 \ltrch\fcs0 \cs16\v\cf15\insrsid8277201\charrsid16611862 MNU[OPTACTPARTYES][NOTAPP]@CHOICE@AMACTMNU}{\rtlch\fcs1 \af0 \ltrch\fcs0 \insrsid8277201\charrsid16611862 #}{\rtlch\fcs1 \af0 \ltrch\fcs0 _x000d__x000a_\cs15\v\f1\fs20\cf9\insrsid8277201\charrsid16611862 &lt;/OptDel&gt;&lt;/Article2&gt;}{\rtlch\fcs1 \af0 \ltrch\fcs0 \insrsid8277201\charrsid16611862 _x000d__x000a_\par \ltrrow}\trowd \irow0\irowband0\ltrrow\ts11\trqc\trgaph340\trleft-340\trftsWidth3\trwWidth9752\trftsWidthB3\trftsWidthA3\trpaddl340\trpaddr340\trpaddfl3\trpaddfr3\tblrsid2517430\tblind0\tblindtype3 \clvertalt\clbrdrt\brdrtbl \clbrdrl\brdrtbl \clbrdrb_x000d__x000a_\brdrtbl \clbrdrr\brdrtbl \cltxlrtb\clftsWidth3\clwWidth9752\clshdrawnil \cellx9412\pard \ltrpar\ql \li0\ri0\keepn\widctlpar\intbl\wrapdefault\aspalpha\aspnum\faauto\adjustright\rin0\lin0\pararsid14315216 {\rtlch\fcs1 \af0 \ltrch\fcs0 _x000d__x000a_\insrsid8277201\charrsid16611862 \cell }\pard \ltrpar\ql \li0\ri0\widctlpar\intbl\wrapdefault\aspalpha\aspnum\faauto\adjustright\rin0\lin0 {\rtlch\fcs1 \af0 \ltrch\fcs0 \insrsid8277201\charrsid16611862 \trowd \irow0\irowband0\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irow1\irowband1\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5\qc \li0\ri0\sa240\keepn\nowidctlpar\intbl\wrapdefault\aspalpha\aspnum\faauto\adjustright\rin0\lin0\pararsid14315216 \rtlch\fcs1 \af0\afs20\alang1025 \ltrch\fcs0 \i\fs24\lang2057\langfe2057\cgrid\langnp2057\langfenp2057 {\rtlch\fcs1 \af0 \ltrch\fcs0 _x000d__x000a_\insrsid8277201\charrsid16611862 #}{\rtlch\fcs1 \af0 \ltrch\fcs0 \cs16\v\cf15\insrsid8277201\charrsid16611862 MNU[OPTLEFTAMACT][LEFTPROP]@CHOICE@AMACTMNU}{\rtlch\fcs1 \af0 \ltrch\fcs0 \insrsid8277201\charrsid16611862 #\cell Amendment\cell _x000d__x000a_}\pard\plain \ltrpar\ql \li0\ri0\widctlpar\intbl\wrapdefault\aspalpha\aspnum\faauto\adjustright\rin0\lin0 \rtlch\fcs1 \af0\afs20\alang1025 \ltrch\fcs0 \fs24\lang2057\langfe2057\cgrid\langnp2057\langfenp2057 {\rtlch\fcs1 \af0 \ltrch\fcs0 _x000d__x000a_\insrsid8277201\charrsid16611862 \trowd \irow1\irowband1\ltrrow\ts11\trqc\trgaph340\trleft-340\trftsWidth3\trwWidth9752\trftsWidthB3\trftsWidthA3\trpaddl340\trpaddr340\trpaddfl3\trpaddfr3\tblrsid2517430\tblind0\tblindtype3 \clvertalt\clbrdrt\brdrtbl _x000d__x000a_\clbrdrl\brdrtbl \clbrdrb\brdrtbl \clbrdrr\brdrtbl \cltxlrtb\clftsWidth3\clwWidth4876\clshdrawnil \cellx4536\clvertalt\clbrdrt\brdrtbl \clbrdrl\brdrtbl \clbrdrb\brdrtbl \clbrdrr\brdrtbl \cltxlrtb\clftsWidth3\clwWidth4876\clshdrawnil \cellx9412\row \ltrrow_x000d__x000a_}\pard\plain \ltrpar\s17\ql \li0\ri0\sa120\nowidctlpar\intbl\wrapdefault\aspalpha\aspnum\faauto\adjustright\rin0\lin0\pararsid2517430 \rtlch\fcs1 \af0\afs20\alang1025 \ltrch\fcs0 \fs24\lang2057\langfe2057\cgrid\langnp2057\langfenp2057 {\rtlch\fcs1 \af0 _x000d__x000a_\ltrch\fcs0 \insrsid8277201\charrsid16611862 ##\cell ##}{\rtlch\fcs1 \af0\afs24 \ltrch\fcs0 \insrsid8277201\charrsid16611862 \cell }\pard\plain \ltrpar\ql \li0\ri0\widctlpar\intbl\wrapdefault\aspalpha\aspnum\faauto\adjustright\rin0\lin0 \rtlch\fcs1 _x000d__x000a_\af0\afs20\alang1025 \ltrch\fcs0 \fs24\lang2057\langfe2057\cgrid\langnp2057\langfenp2057 {\rtlch\fcs1 \af0 \ltrch\fcs0 \insrsid8277201\charrsid16611862 \trowd \irow2\irowband2\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4\qr \li0\ri0\sb240\sa240\nowidctlpar\wrapdefault\aspalpha\aspnum\faauto\adjustright\rin0\lin0\itap0\pararsid8277201 \rtlch\fcs1 \af0\afs20\alang1025 \ltrch\fcs0 \fs24\lang1024\langfe1024\cgrid\noproof\langnp2057\langfenp2057 {\rtlch\fcs1 \af0 _x000d__x000a_\ltrch\fcs0 \noproof0\insrsid8277201\charrsid16611862 Or. }{\rtlch\fcs1 \af0 \ltrch\fcs0 \cs15\v\f1\fs20\cf9\noproof0\insrsid8277201\charrsid16611862 &lt;Original&gt;}{\rtlch\fcs1 \af0 \ltrch\fcs0 \noproof0\insrsid8277201\charrsid16611862 #}{\rtlch\fcs1 \af0 _x000d__x000a_\ltrch\fcs0 \cs16\v\cf15\noproof0\insrsid8277201\charrsid16611862 MNU[ORLANGONE][ORLANGMORE]@CHOICE@ORLANGMNU}{\rtlch\fcs1 \af0 \ltrch\fcs0 \noproof0\insrsid8277201\charrsid16611862 #}{\rtlch\fcs1 \af0 \ltrch\fcs0 _x000d__x000a_\cs15\v\f1\fs20\cf9\noproof0\insrsid8277201\charrsid16611862 &lt;/Original&gt;}{\rtlch\fcs1 \af0 \ltrch\fcs0 \noproof0\insrsid8277201\charrsid16611862 _x000d__x000a_\par }\pard\plain \ltrpar\s22\qc \li0\ri0\sb240\nowidctlpar\wrapdefault\aspalpha\aspnum\faauto\adjustright\rin0\lin0\itap0\pararsid8277201 \rtlch\fcs1 \af0\afs20\alang1025 \ltrch\fcs0 \i\fs24\lang2057\langfe2057\cgrid\langnp2057\langfenp2057 {\rtlch\fcs1 \af0 _x000d__x000a_\ltrch\fcs0 \cs15\i0\v\f1\fs20\cf9\insrsid8277201\charrsid16611862 &lt;OptDel&gt;}{\rtlch\fcs1 \af0 \ltrch\fcs0 \insrsid8277201\charrsid16611862 #}{\rtlch\fcs1 \af0 \ltrch\fcs0 \cs16\v\cf15\insrsid8277201\charrsid16611862 MNU[CROSSREFNO][CROSSREFYES]@CHOICE@}{_x000d__x000a_\rtlch\fcs1 \af0 \ltrch\fcs0 \insrsid8277201\charrsid16611862 #}{\rtlch\fcs1 \af0 \ltrch\fcs0 \cs15\i0\v\f1\fs20\cf9\insrsid8277201\charrsid16611862 &lt;/OptDel&gt;}{\rtlch\fcs1 \af0 \ltrch\fcs0 \insrsid8277201\charrsid16611862 _x000d__x000a_\par }\pard\plain \ltrpar\s23\qc \li0\ri0\sb240\keepn\nowidctlpar\wrapdefault\aspalpha\aspnum\faauto\adjustright\rin0\lin0\itap0\pararsid8277201 \rtlch\fcs1 \af0\afs20\alang1025 \ltrch\fcs0 \i\fs24\lang2057\langfe2057\cgrid\langnp2057\langfenp2057 {_x000d__x000a_\rtlch\fcs1 \af0 \ltrch\fcs0 \cs15\i0\v\f1\fs20\cf9\insrsid8277201\charrsid16611862 &lt;TitreJust&gt;}{\rtlch\fcs1 \af0 \ltrch\fcs0 \insrsid8277201\charrsid16611862 Justification}{\rtlch\fcs1 \af0 \ltrch\fcs0 _x000d__x000a_\cs15\i0\v\f1\fs20\cf9\insrsid8277201\charrsid16611862 &lt;/TitreJust&gt;}{\rtlch\fcs1 \af0 \ltrch\fcs0 \insrsid8277201\charrsid16611862 _x000d__x000a_\par }\pard\plain \ltrpar\s21\ql \li0\ri0\sb240\nowidctlpar\wrapdefault\aspalpha\aspnum\faauto\adjustright\rin0\lin0\itap0\pararsid8277201 \rtlch\fcs1 \af0\afs20\alang1025 \ltrch\fcs0 \i\fs24\lang2057\langfe2057\cgrid\langnp2057\langfenp2057 {\rtlch\fcs1 \af0 _x000d__x000a_\ltrch\fcs0 \cs15\i0\v\f1\fs20\cf9\insrsid8277201\charrsid16611862 &lt;OptDelPrev&gt;}{\rtlch\fcs1 \af0 \ltrch\fcs0 \insrsid8277201\charrsid16611862 #}{\rtlch\fcs1 \af0 \ltrch\fcs0 \cs16\v\cf15\insrsid8277201\charrsid16611862 _x000d__x000a_MNU[TEXTJUSTYES][TEXTJUSTNO]@CHOICE@}{\rtlch\fcs1 \af0 \ltrch\fcs0 \insrsid8277201\charrsid16611862 #}{\rtlch\fcs1 \af0 \ltrch\fcs0 \cs15\i0\v\f1\fs20\cf9\insrsid8277201\charrsid16611862 &lt;/OptDelPrev&gt;}{\rtlch\fcs1 \af0 \ltrch\fcs0 _x000d__x000a_\insrsid8277201\charrsid16611862 _x000d__x000a_\par }\pard\plain \ltrpar\ql \li0\ri0\widctlpar\wrapdefault\aspalpha\aspnum\faauto\adjustright\rin0\lin0\itap0\pararsid8277201 \rtlch\fcs1 \af0\afs20\alang1025 \ltrch\fcs0 \fs24\lang2057\langfe2057\cgrid\langnp2057\langfenp2057 {\rtlch\fcs1 \af0 \ltrch\fcs0 _x000d__x000a_\cs15\v\f1\fs20\cf9\insrsid8277201\charrsid16611862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f0c3_x000d__x000a_c1106318d4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1043\deflangfe1043\themelang1043\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roman\fcharset0\fprq2{\*\panose 02040503050406030204}Cambria;}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42\fbidi \froman\fcharset238\fprq2 Times New Roman CE;}{\f43\fbidi \froman\fcharset204\fprq2 Times New Roman Cyr;}_x000d__x000a_{\f45\fbidi \froman\fcharset161\fprq2 Times New Roman Greek;}{\f46\fbidi \froman\fcharset162\fprq2 Times New Roman Tur;}{\f47\fbidi \froman\fcharset177\fprq2 Times New Roman (Hebrew);}{\f48\fbidi \froman\fcharset178\fprq2 Times New Roman (Arabic);}_x000d__x000a_{\f49\fbidi \froman\fcharset186\fprq2 Times New Roman Baltic;}{\f50\fbidi \froman\fcharset163\fprq2 Times New Roman (Vietnamese);}{\f52\fbidi \fswiss\fcharset238\fprq2 Arial CE;}{\f53\fbidi \fswiss\fcharset204\fprq2 Arial Cyr;}_x000d__x000a_{\f55\fbidi \fswiss\fcharset161\fprq2 Arial Greek;}{\f56\fbidi \fswiss\fcharset162\fprq2 Arial Tur;}{\f57\fbidi \fswiss\fcharset177\fprq2 Arial (Hebrew);}{\f58\fbidi \fswiss\fcharset178\fprq2 Arial (Arabic);}_x000d__x000a_{\f59\fbidi \fswiss\fcharset186\fprq2 Arial Baltic;}{\f60\fbidi \fswiss\fcharset163\fprq2 Arial (Vietnamese);}{\f382\fbidi \froman\fcharset238\fprq2 Cambria Math CE;}{\f383\fbidi \froman\fcharset204\fprq2 Cambria Math Cyr;}_x000d__x000a_{\f385\fbidi \froman\fcharset161\fprq2 Cambria Math Greek;}{\f386\fbidi \froman\fcharset162\fprq2 Cambria Math Tur;}{\f389\fbidi \froman\fcharset186\fprq2 Cambria Math Baltic;}{\f390\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roman\fcharset238\fprq2 Cambria CE;}{\fhimajor\f31529\fbidi \froman\fcharset204\fprq2 Cambria Cyr;}_x000d__x000a_{\fhimajor\f31531\fbidi \froman\fcharset161\fprq2 Cambria Greek;}{\fhimajor\f31532\fbidi \froman\fcharset162\fprq2 Cambria Tur;}{\fhimajor\f31535\fbidi \froman\fcharset186\fprq2 Cambria Baltic;}_x000d__x000a_{\fhimajor\f31536\fbidi \froman\fcharset163\fprq2 Cambria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1043\langfe1043\cgrid\langnp1043\langfenp1043 \snext11 \ssemihidden \spriority0 Normal Table;}{\*\cs15 \additive _x000d__x000a_\v\f1\fs20\cf9\lang1024\langfe1024\noproof \spriority0 \styrsid1058729 HideTWBExt;}{\s16\ql \li0\ri0\sa120\nowidctlpar\wrapdefault\aspalpha\aspnum\faauto\adjustright\rin0\lin0\itap0 \rtlch\fcs1 \af0\afs20\alang1025 \ltrch\fcs0 _x000d__x000a_\fs24\lang2057\langfe2057\cgrid\langnp2057\langfenp2057 \sbasedon0 \snext16 \slink17 \spriority0 \styrsid1058729 Normal6;}{\*\cs17 \additive \fs24\lang2057\langfe2057\langnp2057\langfenp2057 \slink16 \slocked \spriority0 \styrsid1058729 Normal6 Char;}{_x000d__x000a_\s18\ql \li0\ri0\nowidctlpar\wrapdefault\aspalpha\aspnum\faauto\adjustright\rin0\lin0\itap0 \rtlch\fcs1 \af0\afs20\alang1025 \ltrch\fcs0 \b\fs24\lang2057\langfe2057\cgrid\langnp2057\langfenp2057 \sbasedon0 \snext18 \slink19 \spriority0 \styrsid1058729 _x000d__x000a_NormalBold;}{\*\cs19 \additive \b\fs24\lang2057\langfe2057\langnp2057\langfenp2057 \slink18 \slocked \spriority0 \styrsid1058729 NormalBold Char;}{\s20\ql \li0\ri0\sb240\nowidctlpar\wrapdefault\aspalpha\aspnum\faauto\adjustright\rin0\lin0\itap0 _x000d__x000a_\rtlch\fcs1 \af0\afs20\alang1025 \ltrch\fcs0 \i\fs24\lang2057\langfe2057\cgrid\langnp2057\langfenp2057 \sbasedon0 \snext20 \spriority0 \styrsid1058729 Normal12Italic;}{_x000d__x000a_\s21\qc \li0\ri0\sb240\nowidctlpar\wrapdefault\aspalpha\aspnum\faauto\adjustright\rin0\lin0\itap0 \rtlch\fcs1 \af0\afs20\alang1025 \ltrch\fcs0 \i\fs24\lang2057\langfe2057\cgrid\langnp2057\langfenp2057 \sbasedon0 \snext21 \spriority0 \styrsid1058729 _x000d__x000a_CrossRef;}{\s22\qc \li0\ri0\sb240\keepn\nowidctlpar\wrapdefault\aspalpha\aspnum\faauto\adjustright\rin0\lin0\itap0 \rtlch\fcs1 \af0\afs20\alang1025 \ltrch\fcs0 \i\fs24\lang2057\langfe2057\cgrid\langnp2057\langfenp2057 _x000d__x000a_\sbasedon0 \snext0 \spriority0 \styrsid1058729 JustificationTitle;}{\s23\qr \li0\ri0\sb240\sa240\nowidctlpar\wrapdefault\aspalpha\aspnum\faauto\adjustright\rin0\lin0\itap0 \rtlch\fcs1 \af0\afs20\alang1025 \ltrch\fcs0 _x000d__x000a_\fs24\lang1024\langfe1024\cgrid\noproof\langnp2057\langfenp2057 \sbasedon0 \snext23 \spriority0 \styrsid1058729 Olang;}{\s24\qc \li0\ri0\sa240\nowidctlpar\wrapdefault\aspalpha\aspnum\faauto\adjustright\rin0\lin0\itap0 \rtlch\fcs1 \af0\afs20\alang1025 _x000d__x000a_\ltrch\fcs0 \i\fs24\lang2057\langfe2057\cgrid\langnp2057\langfenp2057 \sbasedon0 \snext24 \spriority0 \styrsid1058729 ColumnHeading;}{\s25\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5 \spriority0 \styrsid1058729 AMNumberTabs;}{\s26\ql \li0\ri0\sb240\nowidctlpar\wrapdefault\aspalpha\aspnum\faauto\adjustright\rin0\lin0\itap0 \rtlch\fcs1 _x000d__x000a_\af0\afs20\alang1025 \ltrch\fcs0 \b\fs24\lang2057\langfe2057\cgrid\langnp2057\langfenp2057 \sbasedon0 \snext26 \spriority0 \styrsid1058729 NormalBold12b;}}{\*\rsidtbl \rsid24658\rsid735077\rsid1058729\rsid2892074\rsid4666813\rsid6641733\rsid9636012_x000d__x000a_\rsid11155033\rsid11215221\rsid12154954\rsid14424199\rsid15204470\rsid15285974\rsid15950462\rsid16324206\rsid16662270}{\mmathPr\mmathFont34\mbrkBin0\mbrkBinSub0\msmallFrac0\mdispDef1\mlMargin0\mrMargin0\mdefJc1\mwrapIndent1440\mintLim0\mnaryLim1}{\info_x000d__x000a_{\author FELIX Karina}{\operator FELIX Karina}{\creatim\yr2015\mo5\dy8\hr15\min37}{\revtim\yr2015\mo5\dy8\hr15\min37}{\version1}{\edmins0}{\nofpages1}{\nofwords61}{\nofchars340}{\*\company European Parliament}{\nofcharsws400}{\vern49165}}_x000d__x000a_{\*\xmlnstbl {\xmlns1 http://schemas.microsoft.com/office/word/200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90\pgbrdrhead\pgbrdrfoot\nolnhtadjtbl\nojkernpunct\rsidroot1058729\utinl \fet0{\*\wgrffmtfilter 013f}\ilfomacatclnup0{\*\template C:\\Users\\kfelix\\AppData\\Local\\Temp\\Blank1.dot}{\*\ftnsep \ltrpar \pard\plain \ltrpar_x000d__x000a_\ql \li0\ri0\widctlpar\wrapdefault\aspalpha\aspnum\faauto\adjustright\rin0\lin0\itap0 \rtlch\fcs1 \af0\afs20\alang1025 \ltrch\fcs0 \fs24\lang2057\langfe2057\cgrid\langnp2057\langfenp2057 {\rtlch\fcs1 \af0 \ltrch\fcs0 \insrsid11155033 \chftnsep _x000d__x000a_\par }}{\*\ftnsepc \ltrpar \pard\plain \ltrpar\ql \li0\ri0\widctlpar\wrapdefault\aspalpha\aspnum\faauto\adjustright\rin0\lin0\itap0 \rtlch\fcs1 \af0\afs20\alang1025 \ltrch\fcs0 \fs24\lang2057\langfe2057\cgrid\langnp2057\langfenp2057 {\rtlch\fcs1 \af0 _x000d__x000a_\ltrch\fcs0 \insrsid11155033 \chftnsepc _x000d__x000a_\par }}{\*\aftnsep \ltrpar \pard\plain \ltrpar\ql \li0\ri0\widctlpar\wrapdefault\aspalpha\aspnum\faauto\adjustright\rin0\lin0\itap0 \rtlch\fcs1 \af0\afs20\alang1025 \ltrch\fcs0 \fs24\lang2057\langfe2057\cgrid\langnp2057\langfenp2057 {\rtlch\fcs1 \af0 _x000d__x000a_\ltrch\fcs0 \insrsid11155033 \chftnsep _x000d__x000a_\par }}{\*\aftnsepc \ltrpar \pard\plain \ltrpar\ql \li0\ri0\widctlpar\wrapdefault\aspalpha\aspnum\faauto\adjustright\rin0\lin0\itap0 \rtlch\fcs1 \af0\afs20\alang1025 \ltrch\fcs0 \fs24\lang2057\langfe2057\cgrid\langnp2057\langfenp2057 {\rtlch\fcs1 \af0 _x000d__x000a_\ltrch\fcs0 \insrsid11155033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5\ql \li0\ri0\sb240\keepn\nowidctlpar\tx879\tx936\tx1021\tx1077\tx1134\tx1191\tx1247\tx1304\tx1361\tx1418\tx1474\tx1531\tx1588\tx1644\tx1701\tx1758\tx1814\tx1871\tx2070\tx2126\tx3374\tx3430\wrapdefault\aspalpha\aspnum\faauto\adjustright\rin0_x000d__x000a_\lin0\itap0\pararsid2173828 \rtlch\fcs1 \af0\afs20\alang1025 \ltrch\fcs0 \b\fs24\lang2057\langfe2057\cgrid\langnp2057\langfenp2057 {\rtlch\fcs1 \af0 \ltrch\fcs0 \cs15\b0\v\f1\fs20\cf9\insrsid1058729\charrsid4593153 {\*\bkmkstart restart}&lt;Amend&gt;}{_x000d__x000a_\rtlch\fcs1 \af0 \ltrch\fcs0 \insrsid1058729\charrsid4593153 [ZAMENDMENT]\tab \tab }{\rtlch\fcs1 \af0 \ltrch\fcs0 \cs15\b0\v\f1\fs20\cf9\insrsid1058729\charrsid4593153 &lt;NumAm&gt;}{\rtlch\fcs1 \af0 \ltrch\fcs0 \insrsid1058729\charrsid4593153 [ZNRAM]}{_x000d__x000a_\rtlch\fcs1 \af0 \ltrch\fcs0 \cs15\b0\v\f1\fs20\cf9\insrsid1058729\charrsid4593153 &lt;/NumAm&gt;}{\rtlch\fcs1 \af0 \ltrch\fcs0 \insrsid1058729\charrsid4593153 _x000d__x000a_\par }\pard\plain \ltrpar\s26\ql \li0\ri0\sb240\keepn\nowidctlpar\wrapdefault\aspalpha\aspnum\faauto\adjustright\rin0\lin0\itap0\pararsid2173828 \rtlch\fcs1 \af0\afs20\alang1025 \ltrch\fcs0 \b\fs24\lang2057\langfe2057\cgrid\langnp2057\langfenp2057 {_x000d__x000a_\rtlch\fcs1 \af0 \ltrch\fcs0 \cs15\b0\v\f1\fs20\cf9\insrsid1058729\charrsid4593153 &lt;DocAmend&gt;}{\rtlch\fcs1 \af0 \ltrch\fcs0 \insrsid1058729\charrsid4593153 [ZPROPOSAL][ZAMACT]}{\rtlch\fcs1 \af0 \ltrch\fcs0 _x000d__x000a_\cs15\b0\v\f1\fs20\cf9\insrsid1058729\charrsid4593153 &lt;/DocAmend&gt;}{\rtlch\fcs1 \af0 \ltrch\fcs0 \insrsid1058729\charrsid4593153 _x000d__x000a_\par }\pard\plain \ltrpar\s18\ql \li0\ri0\keepn\nowidctlpar\wrapdefault\aspalpha\aspnum\faauto\adjustright\rin0\lin0\itap0\pararsid14315216 \rtlch\fcs1 \af0\afs20\alang1025 \ltrch\fcs0 \b\fs24\lang2057\langfe2057\cgrid\langnp2057\langfenp2057 {\rtlch\fcs1 _x000d__x000a_\af0 \ltrch\fcs0 \cs15\b0\v\f1\fs20\cf9\insrsid1058729\charrsid4593153 &lt;Article&gt;}{\rtlch\fcs1 \af0 \ltrch\fcs0 \insrsid1058729\charrsid4593153 [ZAMPART]}{\rtlch\fcs1 \af0 \ltrch\fcs0 \cs15\b0\v\f1\fs20\cf9\insrsid1058729\charrsid4593153 &lt;/Article&gt;}{_x000d__x000a_\rtlch\fcs1 \af0 \ltrch\fcs0 \insrsid1058729\charrsid4593153 _x000d__x000a_\par }\pard\plain \ltrpar\ql \li0\ri0\keepn\widctlpar\wrapdefault\aspalpha\aspnum\faauto\adjustright\rin0\lin0\itap0\pararsid1856914 \rtlch\fcs1 \af0\afs20\alang1025 \ltrch\fcs0 \fs24\lang2057\langfe2057\cgrid\langnp2057\langfenp2057 {\rtlch\fcs1 \af0 _x000d__x000a_\ltrch\fcs0 \cs15\v\f1\fs20\cf9\insrsid1058729\charrsid4593153 &lt;DocAmend2&gt;&lt;OptDel&gt;}{\rtlch\fcs1 \af0 \ltrch\fcs0 \insrsid1058729\charrsid4593153 [ZNRACT]}{\rtlch\fcs1 \af0 \ltrch\fcs0 \cs15\v\f1\fs20\cf9\insrsid1058729\charrsid4593153 _x000d__x000a_&lt;/OptDel&gt;&lt;/DocAmend2&gt;}{\rtlch\fcs1 \af0 \ltrch\fcs0 \insrsid1058729\charrsid4593153 _x000d__x000a_\par }\pard \ltrpar\ql \li0\ri0\widctlpar\wrapdefault\aspalpha\aspnum\faauto\adjustright\rin0\lin0\itap0\pararsid2517430 {\rtlch\fcs1 \af0 \ltrch\fcs0 \cs15\v\f1\fs20\cf9\insrsid1058729\charrsid4593153 &lt;Article2&gt;&lt;OptDel&gt;}{\rtlch\fcs1 \af0 \ltrch\fcs0 _x000d__x000a_\insrsid1058729\charrsid4593153 [ZACTPART]}{\rtlch\fcs1 \af0 \ltrch\fcs0 \cs15\v\f1\fs20\cf9\insrsid1058729\charrsid4593153 &lt;/OptDel&gt;&lt;/Article2&gt;}{\rtlch\fcs1 \af0 \ltrch\fcs0 \insrsid1058729\charrsid4593153 _x000d__x000a_\par \ltrrow}\trowd \ltrrow\ts11\trqc\trgaph340\trleft-340\trftsWidth3\trwWidth9752\trftsWidthB3\trftsWidthA3\trpaddl340\trpaddr340\trpaddfl3\trpaddfr3\tblrsid2517430\tblind0\tblindtype3 \clvertalt\clbrdrt\brdrtbl \clbrdrl\brdrtbl \clbrdrb\brdrtbl \clbrdrr_x000d__x000a_\brdrtbl \cltxlrtb\clftsWidth3\clwWidth9752\clshdrawnil \cellx9412\pard \ltrpar\ql \li0\ri0\keepn\widctlpar\intbl\wrapdefault\aspalpha\aspnum\faauto\adjustright\rin0\lin0\pararsid14315216 {\rtlch\fcs1 \af0 \ltrch\fcs0 \insrsid1058729\charrsid4593153 _x000d__x000a_\cell }\pard \ltrpar\ql \li0\ri0\widctlpar\intbl\wrapdefault\aspalpha\aspnum\faauto\adjustright\rin0\lin0 {\rtlch\fcs1 \af0 \ltrch\fcs0 \insrsid1058729\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9752\clshdrawnil \cellx9412\row \ltrrow}\trowd \ltrrow\ts11\trqc\trgaph340\trleft-340\trftsWidth3\trwWidth9752\trftsWidthB3\trftsWidthA3\trpaddl340\trpaddr340\trpaddfl3\trpaddfr3\tblrsid2517430\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24\qc \li0\ri0\sa240\keepn\nowidctlpar\intbl\wrapdefault\aspalpha\aspnum\faauto\adjustright\rin0\lin0\pararsid14315216 \rtlch\fcs1 \af0\afs20\alang1025 \ltrch\fcs0 \i\fs24\lang2057\langfe2057\cgrid\langnp2057\langfenp2057 {_x000d__x000a_\rtlch\fcs1 \af0 \ltrch\fcs0 \insrsid1058729\charrsid4593153 [ZLEFT]\cell [ZRIGHT]\cell }\pard\plain \ltrpar\ql \li0\ri0\widctlpar\intbl\wrapdefault\aspalpha\aspnum\faauto\adjustright\rin0\lin0 \rtlch\fcs1 \af0\afs20\alang1025 \ltrch\fcs0 _x000d__x000a_\fs24\lang2057\langfe2057\cgrid\langnp2057\langfenp2057 {\rtlch\fcs1 \af0 \ltrch\fcs0 \insrsid1058729\charrsid4593153 \trowd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2517430 \rtlch\fcs1 \af0\afs20\alang1025 \ltrch\fcs0 \fs24\lang2057\langfe2057\cgrid\langnp2057\langfenp2057 {\rtlch\fcs1 \af0 \ltrch\fcs0 _x000d__x000a_\insrsid1058729\charrsid4593153 [ZTEXTL]\cell [ZTEXTR]}{\rtlch\fcs1 \af0\afs24 \ltrch\fcs0 \insrsid1058729\charrsid4593153 \cell }\pard\plain \ltrpar\ql \li0\ri0\widctlpar\intbl\wrapdefault\aspalpha\aspnum\faauto\adjustright\rin0\lin0 \rtlch\fcs1 _x000d__x000a_\af0\afs20\alang1025 \ltrch\fcs0 \fs24\lang2057\langfe2057\cgrid\langnp2057\langfenp2057 {\rtlch\fcs1 \af0 \ltrch\fcs0 \insrsid1058729\charrsid4593153 \trowd \lastrow \ltrrow_x000d__x000a_\ts11\trqc\trgaph340\trleft-340\trftsWidth3\trwWidth9752\trftsWidthB3\trftsWidthA3\trpaddl340\trpaddr340\trpaddfl3\trpaddfr3\tblrsid2517430\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3\qr \li0\ri0\sb240\sa240\nowidctlpar\wrapdefault\aspalpha\aspnum\faauto\adjustright\rin0\lin0\itap0\pararsid2517430 \rtlch\fcs1 \af0\afs20\alang1025 \ltrch\fcs0 \fs24\lang1024\langfe1024\cgrid\noproof\langnp2057\langfenp2057 {\rtlch\fcs1 \af0 _x000d__x000a_\ltrch\fcs0 \noproof0\insrsid1058729\charrsid4593153 Or. }{\rtlch\fcs1 \af0 \ltrch\fcs0 \cs15\v\f1\fs20\cf9\noproof0\insrsid1058729\charrsid4593153 &lt;Original&gt;}{\rtlch\fcs1 \af0 \ltrch\fcs0 \noproof0\insrsid1058729\charrsid4593153 [ZORLANG]}{\rtlch\fcs1 _x000d__x000a_\af0 \ltrch\fcs0 \cs15\v\f1\fs20\cf9\noproof0\insrsid1058729\charrsid4593153 &lt;/Original&gt;}{\rtlch\fcs1 \af0 \ltrch\fcs0 \noproof0\insrsid1058729\charrsid4593153 _x000d__x000a_\par }\pard\plain \ltrpar\s21\qc \li0\ri0\sb240\nowidctlpar\wrapdefault\aspalpha\aspnum\faauto\adjustright\rin0\lin0\itap0\pararsid2517430 \rtlch\fcs1 \af0\afs20\alang1025 \ltrch\fcs0 \i\fs24\lang2057\langfe2057\cgrid\langnp2057\langfenp2057 {\rtlch\fcs1 \af0 _x000d__x000a_\ltrch\fcs0 \cs15\i0\v\f1\fs20\cf9\insrsid1058729\charrsid4593153 &lt;OptDel&gt;}{\rtlch\fcs1 \af0 \ltrch\fcs0 \insrsid1058729\charrsid4593153 [ZCROSSREF]}{\rtlch\fcs1 \af0 \ltrch\fcs0 \cs15\i0\v\f1\fs20\cf9\insrsid1058729\charrsid4593153 &lt;/OptDel&gt;}{_x000d__x000a_\rtlch\fcs1 \af0 \ltrch\fcs0 \insrsid1058729\charrsid4593153 _x000d__x000a_\par }\pard\plain \ltrpar\s22\qc \li0\ri0\sb240\keepn\nowidctlpar\wrapdefault\aspalpha\aspnum\faauto\adjustright\rin0\lin0\itap0\pararsid2517430 \rtlch\fcs1 \af0\afs20\alang1025 \ltrch\fcs0 \i\fs24\lang2057\langfe2057\cgrid\langnp2057\langfenp2057 {_x000d__x000a_\rtlch\fcs1 \af0 \ltrch\fcs0 \cs15\i0\v\f1\fs20\cf9\insrsid1058729\charrsid4593153 &lt;TitreJust&gt;}{\rtlch\fcs1 \af0 \ltrch\fcs0 \insrsid1058729\charrsid4593153 [ZJUSTIFICATION]}{\rtlch\fcs1 \af0 \ltrch\fcs0 _x000d__x000a_\cs15\i0\v\f1\fs20\cf9\insrsid1058729\charrsid4593153 &lt;/TitreJust&gt;}{\rtlch\fcs1 \af0 \ltrch\fcs0 \insrsid1058729\charrsid4593153 _x000d__x000a_\par }\pard\plain \ltrpar\s20\ql \li0\ri0\sb240\nowidctlpar\wrapdefault\aspalpha\aspnum\faauto\adjustright\rin0\lin0\itap0\pararsid2517430 \rtlch\fcs1 \af0\afs20\alang1025 \ltrch\fcs0 \i\fs24\lang2057\langfe2057\cgrid\langnp2057\langfenp2057 {\rtlch\fcs1 \af0 _x000d__x000a_\ltrch\fcs0 \cs15\i0\v\f1\fs20\cf9\insrsid1058729\charrsid4593153 &lt;OptDelPrev&gt;}{\rtlch\fcs1 \af0 \ltrch\fcs0 \insrsid1058729\charrsid4593153 [ZTEXTJUST]}{\rtlch\fcs1 \af0 \ltrch\fcs0 \cs15\i0\v\f1\fs20\cf9\insrsid1058729\charrsid4593153 &lt;/OptDelPrev&gt;}{_x000d__x000a_\rtlch\fcs1 \af0 \ltrch\fcs0 \insrsid1058729\charrsid4593153 _x000d__x000a_\par }\pard\plain \ltrpar\ql \li0\ri0\widctlpar\wrapdefault\aspalpha\aspnum\faauto\adjustright\rin0\lin0\itap0\pararsid16324206 \rtlch\fcs1 \af0\afs20\alang1025 \ltrch\fcs0 \fs24\lang2057\langfe2057\cgrid\langnp2057\langfenp2057 {\rtlch\fcs1 \af0 \ltrch\fcs0 _x000d__x000a_\cs15\v\f1\fs20\cf9\insrsid1058729\charrsid4593153 &lt;/Amend&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30dd4329a8060000a41b0000160000007468656d652f7468656d652f_x000d__x000a_7468656d65312e786d6cec594f6fdb3614bf0fd87720746f6327761a07758ad8b19b2d4d1bc46e871e698996d850a240d2497d1bdae38001c3ba618715d86d87_x000d__x000a_615b8116d8a5fb34d93a6c1dd0afb0475292c5585e9236d88aad3e2412f9e3fbff1e1fa9abd7eec70c1d1221294fda5efd72cd4324f1794093b0eddd1ef62fad_x000d__x000a_79482a9c0498f184b4bd2991deb58df7dfbb8ad755446282607d22d771db8b944ad79796a40fc3585ee62949606ecc458c15bc8a702910f808e8c66c69b9565b_x000d__x000a_5d8a314d3c94e018c8de1a8fa94fd05093f43672e23d06af89927ac06762a049136785c10607758d9053d965021d62d6f6804fc08f86e4bef210c352c144dbab_x000d__x000a_999fb7b4717509af678b985ab0b6b4ae6f7ed9ba6c4170b06c788a705430adf71bad2b5b057d03606a1ed7ebf5babd7a41cf00b0ef83a6569632cd467faddec9_x000d__x000a_699640f6719e76b7d6ac355c7c89feca9cccad4ea7d36c65b258a206641f1b73f8b5da6a6373d9c11b90c537e7f08dce66b7bbeae00dc8e257e7f0fd2badd586_x000d__x000a_8b37a088d1e4600ead1ddaef67d40bc898b3ed4af81ac0d76a197c86826828a24bb318f3442d8ab518dfe3a20f000d6458d104a9694ac6d88728eee2782428d6_x000d__x000a_0cf03ac1a5193be4cbb921cd0b495fd054b5bd0f530c1931a3f7eaf9f7af9e3f45c70f9e1d3ff8e9f8e1c3e3073f5a42ceaa6d9c84e5552fbffdeccfc71fa33f_x000d__x000a_9e7ef3f2d117d57859c6fffac327bffcfc793510d26726ce8b2f9ffcf6ecc98baf3efdfdbb4715f04d814765f890c644a29be408edf3181433567125272371be_x000d__x000a_15c308d3f28acd249438c19a4b05fd9e8a1cf4cd296699771c393ac4b5e01d01e5a30a787d72cf1178108989a2159c77a2d801ee72ce3a5c545a6147f32a9979_x000d__x000a_3849c26ae66252c6ed637c58c5bb8b13c7bfbd490a75330f4b47f16e441c31f7184e140e494214d273fc80900aedee52ead87597fa824b3e56e82e451d4c2b4d_x000d__x000a_32a423279a668bb6690c7e9956e90cfe766cb37b077538abd27a8b1cba48c80acc2a841f12e698f13a9e281c57911ce298950d7e03aba84ac8c154f8655c4f2a_x000d__x000a_f074481847bd804859b5e696007d4b4edfc150b12addbecba6b18b148a1e54d1bc81392f23b7f84137c2715a851dd0242a633f900710a218ed715505dfe56e86_x000d__x000a_e877f0034e16bafb0e258ebb4faf06b769e888340b103d331115bebc4eb813bf83291b63624a0d1475a756c734f9bbc2cd28546ecbe1e20a3794ca175f3fae90_x000d__x000a_fb6d2dd99bb07b55e5ccf68942bd0877b23c77b908e8db5f9db7f024d9239010f35bd4bbe2fcae387bfff9e2bc289f2fbe24cfaa301468dd8bd846dbb4ddf1c2_x000d__x000a_ae7b4c191ba8292337a469bc25ec3d411f06f53a73e224c5292c8de0516732307070a1c0660d125c7d44553488700a4d7bddd3444299910e254ab984c3a219ae_x000d__x000a_a4adf1d0f82b7bd46cea4388ad1c12ab5d1ed8e1153d9c9f350a3246aad01c6873462b9ac05999ad5cc988826eafc3acae853a33b7ba11cd1445875ba1b236b1_x000d__x000a_399483c90bd560b0b0263435085a21b0f22a9cf9356b38ec6046026d77eba3dc2dc60b17e92219e180643ed27acffba86e9c94c7ca9c225a0f1b0cfae0788ad5_x000d__x000a_4adc5a9aec1b703b8b93caec1a0bd8e5de7b132fe5113cf312503b998e2c2927274bd051db6b35979b1ef271daf6c6704e86c73805af4bdd476216c26593af84_x000d__x000a_0dfb5393d964f9cc9bad5c313709ea70f561ed3ea7b053075221d51696910d0d339585004b34272bff7213cc7a510a5454a3b349b1b206c1f0af490176745d4b_x000d__x000a_c663e2abb2b34b23da76f6352ba57ca2881844c1111ab189d8c7e07e1daaa04f40255c77988aa05fe06e4e5bdb4cb9c5394bbaf28d98c1d971ccd20867e556a7_x000d__x000a_689ec9166e0a522183792b8907ba55ca6e943bbf2a26e52f48957218ffcf54d1fb09dc3eac04da033e5c0d0b8c74a6b43d2e54c4a10aa511f5fb021a07533b20_x000d__x000a_5ae07e17a621a8e082dafc17e450ffb739676998b48643a4daa7211214f623150942f6a02c99e83b85583ddbbb2c4996113211551257a656ec1139246ca86be0_x000d__x000a_aadedb3d1441a89b6a929501833b197fee7b9641a3503739e57c732a59b1f7da1cf8a73b1f9bcca0945b874d4393dbbf10b1680f66bbaa5d6f96e77b6f59113d_x000d__x000a_316bb31a795600b3d256d0cad2fe354538e7566b2bd69cc6cbcd5c38f0e2bcc63058344429dc2121fd07f63f2a7c66bf76e80d75c8f7a1b622f878a18941d840_x000d__x000a_545fb28d07d205d20e8ea071b283369834296bdaac75d256cb37eb0bee740bbe278cad253b8bbfcf69eca23973d939b97891c6ce2cecd8da8e2d343578f6648a_x000d__x000a_c2d0383fc818c798cf64e52f597c740f1cbd05df0c264c49134cf09d4a60e8a107260f20f92d47b374e32f000000ffff0300504b030414000600080000002100_x000d__x000a_0dd1909fb60000001b010000270000007468656d652f7468656d652f5f72656c732f7468656d654d616e616765722e786d6c2e72656c73848f4d0ac2301484f7_x000d__x000a_8277086f6fd3ba109126dd88d0add40384e4350d363f2451eced0dae2c082e8761be9969bb979dc9136332de3168aa1a083ae995719ac16db8ec8e4052164e89_x000d__x000a_d93b64b060828e6f37ed1567914b284d262452282e3198720e274a939cd08a54f980ae38a38f56e422a3a641c8bbd048f7757da0f19b017cc524bd62107bd500_x000d__x000a_1996509affb3fd381a89672f1f165dfe514173d9850528a2c6cce0239baa4c04ca5bbabac4df000000ffff0300504b01022d0014000600080000002100e9de0f_x000d__x000a_bfff0000001c0200001300000000000000000000000000000000005b436f6e74656e745f54797065735d2e786d6c504b01022d0014000600080000002100a5d6_x000d__x000a_a7e7c0000000360100000b00000000000000000000000000300100005f72656c732f2e72656c73504b01022d00140006000800000021006b799616830000008a_x000d__x000a_0000001c00000000000000000000000000190200007468656d652f7468656d652f7468656d654d616e616765722e786d6c504b01022d00140006000800000021_x000d__x000a_0030dd4329a8060000a41b00001600000000000000000000000000d60200007468656d652f7468656d652f7468656d65312e786d6c504b01022d001400060008_x000d__x000a_00000021000dd1909fb60000001b0100002700000000000000000000000000b20900007468656d652f7468656d652f5f72656c732f7468656d654d616e616765722e786d6c2e72656c73504b050600000000050005005d010000ad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267\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datastore 010500000200000018000000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b06a_x000d__x000a_db329489d0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ATMNU" w:val=" 1"/>
    <w:docVar w:name="strDocTypeID" w:val="PR_COD_1amCom"/>
    <w:docVar w:name="strSubDir" w:val="1164"/>
    <w:docVar w:name="TVTAMPART" w:val="Recital 3"/>
    <w:docVar w:name="TXTAUTHOR" w:val="Neena Gill"/>
    <w:docVar w:name="TXTLANGUE" w:val="EN"/>
    <w:docVar w:name="TXTLANGUEMIN" w:val="en"/>
    <w:docVar w:name="TXTNRC" w:val="0209/2018"/>
    <w:docVar w:name="TXTNRCOD" w:val="2018/0180"/>
    <w:docVar w:name="TXTNRCOM" w:val="(2018)0355"/>
    <w:docVar w:name="TXTNRFIRSTAM" w:val="1"/>
    <w:docVar w:name="TXTNRLASTAM" w:val="25"/>
    <w:docVar w:name="TXTNRPE" w:val="628.440"/>
    <w:docVar w:name="TXTPEorAP" w:val="PE"/>
    <w:docVar w:name="TXTROUTE" w:val="PR\1164155EN.docx"/>
    <w:docVar w:name="TXTTITLE" w:val="amending Regulation (EU) 2016/1011 on low carbon benchmarks and positive carbon impact benchmarks"/>
    <w:docVar w:name="TXTVERSION" w:val="01-00"/>
  </w:docVars>
  <w:rsids>
    <w:rsidRoot w:val="00D61396"/>
    <w:rsid w:val="00011AAB"/>
    <w:rsid w:val="00012351"/>
    <w:rsid w:val="000369E0"/>
    <w:rsid w:val="00047DE3"/>
    <w:rsid w:val="00060FD4"/>
    <w:rsid w:val="00084E89"/>
    <w:rsid w:val="000F1096"/>
    <w:rsid w:val="000F5603"/>
    <w:rsid w:val="00123DD5"/>
    <w:rsid w:val="00142215"/>
    <w:rsid w:val="001767E2"/>
    <w:rsid w:val="00187008"/>
    <w:rsid w:val="001C5592"/>
    <w:rsid w:val="001C5B44"/>
    <w:rsid w:val="001C6FFC"/>
    <w:rsid w:val="001E1AA5"/>
    <w:rsid w:val="00212B84"/>
    <w:rsid w:val="00212DF2"/>
    <w:rsid w:val="002346B0"/>
    <w:rsid w:val="002667C3"/>
    <w:rsid w:val="002669B6"/>
    <w:rsid w:val="00290BED"/>
    <w:rsid w:val="002C6492"/>
    <w:rsid w:val="002F40BB"/>
    <w:rsid w:val="002F4B02"/>
    <w:rsid w:val="00323EF8"/>
    <w:rsid w:val="00370AC3"/>
    <w:rsid w:val="003A5F7A"/>
    <w:rsid w:val="003C2068"/>
    <w:rsid w:val="003C37CF"/>
    <w:rsid w:val="003E5E14"/>
    <w:rsid w:val="003F1540"/>
    <w:rsid w:val="004100B1"/>
    <w:rsid w:val="00461601"/>
    <w:rsid w:val="004C0915"/>
    <w:rsid w:val="004D424E"/>
    <w:rsid w:val="004E42C8"/>
    <w:rsid w:val="00502D2D"/>
    <w:rsid w:val="0051271F"/>
    <w:rsid w:val="00521F46"/>
    <w:rsid w:val="005422B1"/>
    <w:rsid w:val="00551123"/>
    <w:rsid w:val="00570A6A"/>
    <w:rsid w:val="00586E50"/>
    <w:rsid w:val="005D1A99"/>
    <w:rsid w:val="005D7609"/>
    <w:rsid w:val="005D7EE8"/>
    <w:rsid w:val="005E72C0"/>
    <w:rsid w:val="00680691"/>
    <w:rsid w:val="00684DEB"/>
    <w:rsid w:val="006F7907"/>
    <w:rsid w:val="0072146F"/>
    <w:rsid w:val="007245FA"/>
    <w:rsid w:val="00743189"/>
    <w:rsid w:val="00783CA5"/>
    <w:rsid w:val="007932B3"/>
    <w:rsid w:val="00793EA9"/>
    <w:rsid w:val="007D6F68"/>
    <w:rsid w:val="007E37CB"/>
    <w:rsid w:val="008238A3"/>
    <w:rsid w:val="00827092"/>
    <w:rsid w:val="008633CC"/>
    <w:rsid w:val="00863C0E"/>
    <w:rsid w:val="00865190"/>
    <w:rsid w:val="008719B9"/>
    <w:rsid w:val="0087758B"/>
    <w:rsid w:val="00894ECE"/>
    <w:rsid w:val="00896BB4"/>
    <w:rsid w:val="008A7FB8"/>
    <w:rsid w:val="009022B8"/>
    <w:rsid w:val="00917CC4"/>
    <w:rsid w:val="009763DA"/>
    <w:rsid w:val="00996EA7"/>
    <w:rsid w:val="009B4B93"/>
    <w:rsid w:val="009C6BD6"/>
    <w:rsid w:val="009F24BE"/>
    <w:rsid w:val="009F6C2F"/>
    <w:rsid w:val="00A116ED"/>
    <w:rsid w:val="00A22533"/>
    <w:rsid w:val="00A26F46"/>
    <w:rsid w:val="00A34FD3"/>
    <w:rsid w:val="00A36929"/>
    <w:rsid w:val="00A5220C"/>
    <w:rsid w:val="00AA35B0"/>
    <w:rsid w:val="00AD18C8"/>
    <w:rsid w:val="00AD7FA6"/>
    <w:rsid w:val="00AE4643"/>
    <w:rsid w:val="00AF0416"/>
    <w:rsid w:val="00B10CB4"/>
    <w:rsid w:val="00B23B72"/>
    <w:rsid w:val="00B360F7"/>
    <w:rsid w:val="00B42702"/>
    <w:rsid w:val="00B5353D"/>
    <w:rsid w:val="00B85407"/>
    <w:rsid w:val="00B95702"/>
    <w:rsid w:val="00BC6489"/>
    <w:rsid w:val="00BD480C"/>
    <w:rsid w:val="00C45061"/>
    <w:rsid w:val="00C73602"/>
    <w:rsid w:val="00CF1449"/>
    <w:rsid w:val="00CF60C8"/>
    <w:rsid w:val="00D12316"/>
    <w:rsid w:val="00D32924"/>
    <w:rsid w:val="00D503A3"/>
    <w:rsid w:val="00D61396"/>
    <w:rsid w:val="00DA6C57"/>
    <w:rsid w:val="00DA6ED0"/>
    <w:rsid w:val="00DC5011"/>
    <w:rsid w:val="00E00C43"/>
    <w:rsid w:val="00E1116C"/>
    <w:rsid w:val="00E171B6"/>
    <w:rsid w:val="00E30BFE"/>
    <w:rsid w:val="00E632E2"/>
    <w:rsid w:val="00EB1753"/>
    <w:rsid w:val="00EB6CFF"/>
    <w:rsid w:val="00EE3996"/>
    <w:rsid w:val="00F4366E"/>
    <w:rsid w:val="00F43ABE"/>
    <w:rsid w:val="00F739FB"/>
    <w:rsid w:val="00F904AE"/>
    <w:rsid w:val="00F934F8"/>
    <w:rsid w:val="00FB52FE"/>
    <w:rsid w:val="00FC0A34"/>
    <w:rsid w:val="00FC1BD5"/>
    <w:rsid w:val="00FD1DEF"/>
    <w:rsid w:val="00FE1A3B"/>
    <w:rsid w:val="00FE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BA69B"/>
  <w15:chartTrackingRefBased/>
  <w15:docId w15:val="{A4DCD4E5-980A-4BD3-89EF-E5FCD4BA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0BFE"/>
    <w:pPr>
      <w:widowControl w:val="0"/>
    </w:pPr>
    <w:rPr>
      <w:sz w:val="24"/>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paragraph" w:styleId="berschrift4">
    <w:name w:val="heading 4"/>
    <w:basedOn w:val="Standard"/>
    <w:next w:val="Standard"/>
    <w:qFormat/>
    <w:pPr>
      <w:keepNext/>
      <w:spacing w:before="240" w:after="60"/>
      <w:outlineLvl w:val="3"/>
    </w:pPr>
    <w:rPr>
      <w:rFonts w:ascii="Arial" w:hAnsi="Arial"/>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i/>
      <w:sz w:val="22"/>
    </w:rPr>
  </w:style>
  <w:style w:type="paragraph" w:styleId="berschrift7">
    <w:name w:val="heading 7"/>
    <w:basedOn w:val="Standard"/>
    <w:next w:val="Standard"/>
    <w:qFormat/>
    <w:pPr>
      <w:spacing w:before="240" w:after="60"/>
      <w:outlineLvl w:val="6"/>
    </w:pPr>
    <w:rPr>
      <w:rFonts w:ascii="Arial" w:hAnsi="Arial"/>
    </w:rPr>
  </w:style>
  <w:style w:type="paragraph" w:styleId="berschrift8">
    <w:name w:val="heading 8"/>
    <w:basedOn w:val="Standard"/>
    <w:next w:val="Standard"/>
    <w:qFormat/>
    <w:pPr>
      <w:spacing w:before="240" w:after="60"/>
      <w:outlineLvl w:val="7"/>
    </w:pPr>
    <w:rPr>
      <w:rFonts w:ascii="Arial" w:hAnsi="Arial"/>
      <w:i/>
    </w:rPr>
  </w:style>
  <w:style w:type="paragraph" w:styleId="berschrift9">
    <w:name w:val="heading 9"/>
    <w:basedOn w:val="Standard"/>
    <w:next w:val="Standard"/>
    <w:qFormat/>
    <w:p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ideTWBExt">
    <w:name w:val="HideTWBExt"/>
    <w:rPr>
      <w:rFonts w:ascii="Arial" w:hAnsi="Arial"/>
      <w:noProof/>
      <w:vanish/>
      <w:color w:val="000080"/>
      <w:sz w:val="20"/>
    </w:rPr>
  </w:style>
  <w:style w:type="paragraph" w:styleId="Fuzeile">
    <w:name w:val="footer"/>
    <w:basedOn w:val="Standard"/>
    <w:rsid w:val="00B23B72"/>
    <w:pPr>
      <w:tabs>
        <w:tab w:val="center" w:pos="4536"/>
        <w:tab w:val="right" w:pos="9072"/>
      </w:tabs>
      <w:spacing w:before="240" w:after="240"/>
    </w:pPr>
    <w:rPr>
      <w:sz w:val="22"/>
    </w:rPr>
  </w:style>
  <w:style w:type="paragraph" w:customStyle="1" w:styleId="Normal12a12b">
    <w:name w:val="Normal12a12b"/>
    <w:basedOn w:val="Standard"/>
    <w:pPr>
      <w:spacing w:before="240" w:after="240"/>
    </w:pPr>
  </w:style>
  <w:style w:type="paragraph" w:customStyle="1" w:styleId="Footer2">
    <w:name w:val="Footer2"/>
    <w:basedOn w:val="Standard"/>
    <w:pPr>
      <w:widowControl/>
      <w:tabs>
        <w:tab w:val="right" w:pos="9921"/>
      </w:tabs>
      <w:spacing w:after="240"/>
      <w:ind w:left="-850" w:right="-850"/>
    </w:pPr>
    <w:rPr>
      <w:rFonts w:ascii="Arial" w:hAnsi="Arial" w:cs="Arial"/>
      <w:b/>
      <w:sz w:val="48"/>
    </w:rPr>
  </w:style>
  <w:style w:type="paragraph" w:customStyle="1" w:styleId="Normal12">
    <w:name w:val="Normal12"/>
    <w:basedOn w:val="Standard"/>
    <w:pPr>
      <w:spacing w:after="240"/>
    </w:pPr>
  </w:style>
  <w:style w:type="paragraph" w:styleId="Verzeichnis1">
    <w:name w:val="toc 1"/>
    <w:basedOn w:val="Normal12"/>
    <w:next w:val="Normal12"/>
    <w:autoRedefine/>
    <w:uiPriority w:val="39"/>
  </w:style>
  <w:style w:type="paragraph" w:styleId="Inhaltsverzeichnisberschrift">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Verzeichnis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Standard"/>
    <w:link w:val="Normal6Char"/>
    <w:pPr>
      <w:spacing w:after="120"/>
    </w:pPr>
  </w:style>
  <w:style w:type="character" w:customStyle="1" w:styleId="Normal6Char">
    <w:name w:val="Normal6 Char"/>
    <w:link w:val="Normal6"/>
    <w:rsid w:val="002669B6"/>
    <w:rPr>
      <w:sz w:val="24"/>
      <w:lang w:val="en-GB" w:eastAsia="en-GB" w:bidi="ar-SA"/>
    </w:rPr>
  </w:style>
  <w:style w:type="paragraph" w:customStyle="1" w:styleId="PageHeading">
    <w:name w:val="PageHeading"/>
    <w:basedOn w:val="Normal12a12b"/>
    <w:pPr>
      <w:keepNext/>
      <w:jc w:val="center"/>
    </w:pPr>
    <w:rPr>
      <w:rFonts w:ascii="Arial" w:hAnsi="Arial"/>
      <w:b/>
    </w:rPr>
  </w:style>
  <w:style w:type="paragraph" w:customStyle="1" w:styleId="NormalBold">
    <w:name w:val="NormalBold"/>
    <w:basedOn w:val="Standard"/>
    <w:link w:val="NormalBoldChar"/>
    <w:rPr>
      <w:b/>
    </w:rPr>
  </w:style>
  <w:style w:type="character" w:customStyle="1" w:styleId="NormalBoldChar">
    <w:name w:val="NormalBold Char"/>
    <w:link w:val="NormalBold"/>
    <w:rsid w:val="002669B6"/>
    <w:rPr>
      <w:b/>
      <w:sz w:val="24"/>
      <w:lang w:val="en-GB" w:eastAsia="en-GB" w:bidi="ar-SA"/>
    </w:rPr>
  </w:style>
  <w:style w:type="paragraph" w:customStyle="1" w:styleId="Normal12Bold">
    <w:name w:val="Normal12Bold"/>
    <w:basedOn w:val="Normal12"/>
    <w:rPr>
      <w:b/>
    </w:rPr>
  </w:style>
  <w:style w:type="paragraph" w:customStyle="1" w:styleId="Normal12Italic">
    <w:name w:val="Normal12Italic"/>
    <w:basedOn w:val="Standard"/>
    <w:pPr>
      <w:spacing w:before="240"/>
    </w:pPr>
    <w:rPr>
      <w:i/>
    </w:rPr>
  </w:style>
  <w:style w:type="paragraph" w:customStyle="1" w:styleId="Normal12Hanging">
    <w:name w:val="Normal12Hanging"/>
    <w:basedOn w:val="Normal12"/>
    <w:pPr>
      <w:ind w:left="567" w:hanging="567"/>
    </w:pPr>
  </w:style>
  <w:style w:type="paragraph" w:customStyle="1" w:styleId="EPName">
    <w:name w:val="EPName"/>
    <w:basedOn w:val="Standard"/>
    <w:rsid w:val="006F7907"/>
    <w:pPr>
      <w:spacing w:before="80" w:after="80"/>
    </w:pPr>
    <w:rPr>
      <w:rFonts w:ascii="Arial Narrow" w:hAnsi="Arial Narrow" w:cs="Arial"/>
      <w:b/>
      <w:color w:val="000000"/>
      <w:sz w:val="32"/>
      <w:szCs w:val="22"/>
      <w:lang w:val="fr-FR"/>
    </w:rPr>
  </w:style>
  <w:style w:type="paragraph" w:customStyle="1" w:styleId="Normal24">
    <w:name w:val="Normal24"/>
    <w:basedOn w:val="Standard"/>
    <w:pPr>
      <w:spacing w:after="480"/>
    </w:pPr>
  </w:style>
  <w:style w:type="paragraph" w:customStyle="1" w:styleId="Cover24">
    <w:name w:val="Cover24"/>
    <w:basedOn w:val="Normal24"/>
    <w:pPr>
      <w:ind w:left="1418"/>
    </w:pPr>
  </w:style>
  <w:style w:type="paragraph" w:customStyle="1" w:styleId="CoverNormal">
    <w:name w:val="CoverNormal"/>
    <w:basedOn w:val="Standard"/>
    <w:pPr>
      <w:ind w:left="1418"/>
    </w:pPr>
  </w:style>
  <w:style w:type="paragraph" w:customStyle="1" w:styleId="CrossRef">
    <w:name w:val="CrossRef"/>
    <w:basedOn w:val="Standard"/>
    <w:rsid w:val="00DA6ED0"/>
    <w:pPr>
      <w:spacing w:before="240"/>
      <w:jc w:val="center"/>
    </w:pPr>
    <w:rPr>
      <w:i/>
    </w:rPr>
  </w:style>
  <w:style w:type="paragraph" w:customStyle="1" w:styleId="JustificationTitle">
    <w:name w:val="JustificationTitle"/>
    <w:basedOn w:val="Standard"/>
    <w:next w:val="Normal12"/>
    <w:pPr>
      <w:keepNext/>
      <w:spacing w:before="240"/>
      <w:jc w:val="center"/>
    </w:pPr>
    <w:rPr>
      <w:i/>
    </w:rPr>
  </w:style>
  <w:style w:type="paragraph" w:customStyle="1" w:styleId="Normal12Centre">
    <w:name w:val="Normal12Centre"/>
    <w:basedOn w:val="Normal12"/>
    <w:pPr>
      <w:jc w:val="center"/>
    </w:pPr>
  </w:style>
  <w:style w:type="paragraph" w:customStyle="1" w:styleId="Normal12Keep">
    <w:name w:val="Normal12Keep"/>
    <w:basedOn w:val="Normal12"/>
    <w:pPr>
      <w:keepNext/>
    </w:pPr>
  </w:style>
  <w:style w:type="paragraph" w:customStyle="1" w:styleId="Normal12Tab">
    <w:name w:val="Normal12Tab"/>
    <w:basedOn w:val="Normal12"/>
    <w:rsid w:val="003C2068"/>
    <w:pPr>
      <w:tabs>
        <w:tab w:val="left" w:pos="567"/>
      </w:tabs>
    </w:pPr>
  </w:style>
  <w:style w:type="paragraph" w:customStyle="1" w:styleId="RefProc">
    <w:name w:val="RefProc"/>
    <w:basedOn w:val="Standard"/>
    <w:rsid w:val="003C37CF"/>
    <w:pPr>
      <w:spacing w:before="240" w:after="240"/>
      <w:jc w:val="right"/>
    </w:pPr>
    <w:rPr>
      <w:rFonts w:ascii="Arial" w:hAnsi="Arial"/>
      <w:b/>
      <w:caps/>
    </w:rPr>
  </w:style>
  <w:style w:type="paragraph" w:customStyle="1" w:styleId="StarsAndIs">
    <w:name w:val="StarsAndIs"/>
    <w:basedOn w:val="Standard"/>
    <w:pPr>
      <w:ind w:left="1418"/>
    </w:pPr>
    <w:rPr>
      <w:rFonts w:ascii="Arial" w:hAnsi="Arial"/>
      <w:b/>
      <w:sz w:val="48"/>
    </w:rPr>
  </w:style>
  <w:style w:type="paragraph" w:customStyle="1" w:styleId="Lgendesigne">
    <w:name w:val="Légende signe"/>
    <w:basedOn w:val="Standard"/>
    <w:rsid w:val="007245FA"/>
    <w:pPr>
      <w:tabs>
        <w:tab w:val="right" w:pos="454"/>
        <w:tab w:val="left" w:pos="737"/>
      </w:tabs>
      <w:ind w:left="737" w:hanging="737"/>
    </w:pPr>
    <w:rPr>
      <w:snapToGrid w:val="0"/>
      <w:sz w:val="18"/>
      <w:lang w:val="en-US" w:eastAsia="en-US"/>
    </w:rPr>
  </w:style>
  <w:style w:type="paragraph" w:customStyle="1" w:styleId="TypeDoc">
    <w:name w:val="TypeDoc"/>
    <w:basedOn w:val="Normal24"/>
    <w:pPr>
      <w:ind w:left="1418"/>
    </w:pPr>
    <w:rPr>
      <w:rFonts w:ascii="Arial" w:hAnsi="Arial"/>
      <w:b/>
      <w:sz w:val="48"/>
    </w:rPr>
  </w:style>
  <w:style w:type="paragraph" w:customStyle="1" w:styleId="ZDate">
    <w:name w:val="ZDate"/>
    <w:basedOn w:val="Standard"/>
    <w:pPr>
      <w:spacing w:after="1200"/>
    </w:pPr>
  </w:style>
  <w:style w:type="paragraph" w:styleId="Kopfzeile">
    <w:name w:val="header"/>
    <w:basedOn w:val="Standard"/>
    <w:pPr>
      <w:tabs>
        <w:tab w:val="center" w:pos="4153"/>
        <w:tab w:val="right" w:pos="8306"/>
      </w:tabs>
    </w:pPr>
  </w:style>
  <w:style w:type="paragraph" w:customStyle="1" w:styleId="Olang">
    <w:name w:val="Olang"/>
    <w:basedOn w:val="Standard"/>
    <w:rsid w:val="002669B6"/>
    <w:pPr>
      <w:spacing w:before="240" w:after="240"/>
      <w:jc w:val="right"/>
    </w:pPr>
    <w:rPr>
      <w:noProof/>
    </w:rPr>
  </w:style>
  <w:style w:type="paragraph" w:customStyle="1" w:styleId="ColumnHeading">
    <w:name w:val="ColumnHeading"/>
    <w:basedOn w:val="Standard"/>
    <w:rsid w:val="002669B6"/>
    <w:pPr>
      <w:spacing w:after="240"/>
      <w:jc w:val="center"/>
    </w:pPr>
    <w:rPr>
      <w:i/>
    </w:rPr>
  </w:style>
  <w:style w:type="table" w:styleId="Tabellenraster">
    <w:name w:val="Table Grid"/>
    <w:basedOn w:val="NormaleTabelle"/>
    <w:rsid w:val="0046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NumberTabs">
    <w:name w:val="AMNumberTabs"/>
    <w:basedOn w:val="Standard"/>
    <w:rsid w:val="004C0915"/>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NormalBold12b">
    <w:name w:val="NormalBold12b"/>
    <w:basedOn w:val="Standard"/>
    <w:rsid w:val="004C0915"/>
    <w:pPr>
      <w:spacing w:before="240"/>
    </w:pPr>
    <w:rPr>
      <w:b/>
    </w:rPr>
  </w:style>
  <w:style w:type="paragraph" w:customStyle="1" w:styleId="ZCommittee">
    <w:name w:val="ZCommittee"/>
    <w:basedOn w:val="Standard"/>
    <w:next w:val="Standard"/>
    <w:rsid w:val="00461601"/>
    <w:pPr>
      <w:jc w:val="center"/>
    </w:pPr>
    <w:rPr>
      <w:rFonts w:ascii="Arial" w:hAnsi="Arial" w:cs="Arial"/>
      <w:i/>
      <w:sz w:val="22"/>
      <w:szCs w:val="22"/>
      <w:lang w:val="fr-FR"/>
    </w:rPr>
  </w:style>
  <w:style w:type="paragraph" w:customStyle="1" w:styleId="LineTop">
    <w:name w:val="LineTop"/>
    <w:basedOn w:val="Standard"/>
    <w:next w:val="ZCommittee"/>
    <w:rsid w:val="00461601"/>
    <w:pPr>
      <w:pBdr>
        <w:top w:val="single" w:sz="4" w:space="1" w:color="auto"/>
      </w:pBdr>
      <w:jc w:val="center"/>
    </w:pPr>
    <w:rPr>
      <w:rFonts w:ascii="Arial" w:hAnsi="Arial"/>
      <w:sz w:val="16"/>
      <w:szCs w:val="16"/>
      <w:lang w:val="fr-FR"/>
    </w:rPr>
  </w:style>
  <w:style w:type="paragraph" w:customStyle="1" w:styleId="LineBottom">
    <w:name w:val="LineBottom"/>
    <w:basedOn w:val="Standard"/>
    <w:next w:val="Standard"/>
    <w:rsid w:val="00461601"/>
    <w:pPr>
      <w:pBdr>
        <w:bottom w:val="single" w:sz="4" w:space="1" w:color="auto"/>
      </w:pBdr>
      <w:spacing w:after="840"/>
      <w:jc w:val="center"/>
    </w:pPr>
    <w:rPr>
      <w:rFonts w:ascii="Arial" w:hAnsi="Arial"/>
      <w:sz w:val="16"/>
      <w:szCs w:val="16"/>
    </w:rPr>
  </w:style>
  <w:style w:type="paragraph" w:customStyle="1" w:styleId="EPTerm">
    <w:name w:val="EPTerm"/>
    <w:basedOn w:val="Standard"/>
    <w:next w:val="Standard"/>
    <w:rsid w:val="006F7907"/>
    <w:pPr>
      <w:spacing w:after="80"/>
    </w:pPr>
    <w:rPr>
      <w:rFonts w:ascii="Arial" w:hAnsi="Arial" w:cs="Arial"/>
      <w:sz w:val="20"/>
      <w:szCs w:val="22"/>
      <w:lang w:val="fr-FR"/>
    </w:rPr>
  </w:style>
  <w:style w:type="paragraph" w:customStyle="1" w:styleId="EPLogo">
    <w:name w:val="EPLogo"/>
    <w:basedOn w:val="Standard"/>
    <w:qFormat/>
    <w:rsid w:val="006F7907"/>
    <w:pPr>
      <w:jc w:val="right"/>
    </w:pPr>
  </w:style>
  <w:style w:type="paragraph" w:customStyle="1" w:styleId="Lgendetitre">
    <w:name w:val="Légende titre"/>
    <w:basedOn w:val="Standard"/>
    <w:rsid w:val="007245FA"/>
    <w:pPr>
      <w:spacing w:before="240" w:after="240"/>
    </w:pPr>
    <w:rPr>
      <w:b/>
      <w:i/>
      <w:snapToGrid w:val="0"/>
      <w:lang w:val="en-US" w:eastAsia="en-US"/>
    </w:rPr>
  </w:style>
  <w:style w:type="paragraph" w:customStyle="1" w:styleId="Lgendestandard">
    <w:name w:val="Légende standard"/>
    <w:basedOn w:val="Lgendesigne"/>
    <w:rsid w:val="007245FA"/>
    <w:pPr>
      <w:ind w:left="0" w:firstLine="0"/>
    </w:pPr>
  </w:style>
  <w:style w:type="paragraph" w:styleId="Sprechblasentext">
    <w:name w:val="Balloon Text"/>
    <w:basedOn w:val="Standard"/>
    <w:link w:val="SprechblasentextZchn"/>
    <w:rsid w:val="001E1AA5"/>
    <w:rPr>
      <w:rFonts w:ascii="Segoe UI" w:hAnsi="Segoe UI" w:cs="Segoe UI"/>
      <w:sz w:val="18"/>
      <w:szCs w:val="18"/>
    </w:rPr>
  </w:style>
  <w:style w:type="character" w:customStyle="1" w:styleId="SprechblasentextZchn">
    <w:name w:val="Sprechblasentext Zchn"/>
    <w:basedOn w:val="Absatz-Standardschriftart"/>
    <w:link w:val="Sprechblasentext"/>
    <w:rsid w:val="001E1AA5"/>
    <w:rPr>
      <w:rFonts w:ascii="Segoe UI" w:hAnsi="Segoe UI" w:cs="Segoe UI"/>
      <w:sz w:val="18"/>
      <w:szCs w:val="18"/>
    </w:rPr>
  </w:style>
  <w:style w:type="character" w:styleId="Kommentarzeichen">
    <w:name w:val="annotation reference"/>
    <w:basedOn w:val="Absatz-Standardschriftart"/>
    <w:rsid w:val="00DA6C57"/>
    <w:rPr>
      <w:sz w:val="16"/>
      <w:szCs w:val="16"/>
    </w:rPr>
  </w:style>
  <w:style w:type="paragraph" w:styleId="Kommentartext">
    <w:name w:val="annotation text"/>
    <w:basedOn w:val="Standard"/>
    <w:link w:val="KommentartextZchn"/>
    <w:rsid w:val="00DA6C57"/>
    <w:rPr>
      <w:sz w:val="20"/>
    </w:rPr>
  </w:style>
  <w:style w:type="character" w:customStyle="1" w:styleId="KommentartextZchn">
    <w:name w:val="Kommentartext Zchn"/>
    <w:basedOn w:val="Absatz-Standardschriftart"/>
    <w:link w:val="Kommentartext"/>
    <w:rsid w:val="00DA6C57"/>
  </w:style>
  <w:style w:type="paragraph" w:styleId="Kommentarthema">
    <w:name w:val="annotation subject"/>
    <w:basedOn w:val="Kommentartext"/>
    <w:next w:val="Kommentartext"/>
    <w:link w:val="KommentarthemaZchn"/>
    <w:rsid w:val="00DA6C57"/>
    <w:rPr>
      <w:b/>
      <w:bCs/>
    </w:rPr>
  </w:style>
  <w:style w:type="character" w:customStyle="1" w:styleId="KommentarthemaZchn">
    <w:name w:val="Kommentarthema Zchn"/>
    <w:basedOn w:val="KommentartextZchn"/>
    <w:link w:val="Kommentarthema"/>
    <w:rsid w:val="00DA6C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ilieva\AppData\Local\Temp\PR_COD_1amCo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CDAC-5BC6-4A6B-99EA-B3146D7F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PR_COD_1amCom</Template>
  <TotalTime>0</TotalTime>
  <Pages>23</Pages>
  <Words>5940</Words>
  <Characters>37428</Characters>
  <Application>Microsoft Office Word</Application>
  <DocSecurity>0</DocSecurity>
  <Lines>311</Lines>
  <Paragraphs>86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PR_COD_1amCom</vt:lpstr>
      <vt:lpstr>PR_COD_1amCom</vt:lpstr>
      <vt:lpstr>PR_COD_1amCom</vt:lpstr>
    </vt:vector>
  </TitlesOfParts>
  <Company/>
  <LinksUpToDate>false</LinksUpToDate>
  <CharactersWithSpaces>43282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PR_COD_1amCom</dc:title>
  <dc:subject/>
  <dc:creator>ILIEVA Kunka</dc:creator>
  <cp:keywords/>
  <dc:description/>
  <cp:lastModifiedBy>Martinovic Magdalena</cp:lastModifiedBy>
  <cp:revision>2</cp:revision>
  <cp:lastPrinted>2018-10-01T09:04:00Z</cp:lastPrinted>
  <dcterms:created xsi:type="dcterms:W3CDTF">2018-10-09T13:47:00Z</dcterms:created>
  <dcterms:modified xsi:type="dcterms:W3CDTF">2018-10-09T13:47:00Z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9.4.0 Build [20180708]</vt:lpwstr>
  </property>
  <property fmtid="{D5CDD505-2E9C-101B-9397-08002B2CF9AE}" pid="4" name="LastEdited with">
    <vt:lpwstr>9.4.0 Build [20180708]</vt:lpwstr>
  </property>
  <property fmtid="{D5CDD505-2E9C-101B-9397-08002B2CF9AE}" pid="5" name="&lt;FdR&gt;">
    <vt:lpwstr>1164155</vt:lpwstr>
  </property>
  <property fmtid="{D5CDD505-2E9C-101B-9397-08002B2CF9AE}" pid="6" name="&lt;Type&gt;">
    <vt:lpwstr>PR</vt:lpwstr>
  </property>
  <property fmtid="{D5CDD505-2E9C-101B-9397-08002B2CF9AE}" pid="7" name="&lt;ModelCod&gt;">
    <vt:lpwstr>\\eiciBRUpr1\pdocep$\DocEP\DOCS\General\PR\PR_Leg\COD\COD_1st\PR_COD_1amCom.dot(30/06/2017 07:37:07)</vt:lpwstr>
  </property>
  <property fmtid="{D5CDD505-2E9C-101B-9397-08002B2CF9AE}" pid="8" name="&lt;ModelTra&gt;">
    <vt:lpwstr>\\eiciBRUpr1\pdocep$\DocEP\TRANSFIL\EN\PR_COD_1amCom.EN(08/05/2018 11:16:02)</vt:lpwstr>
  </property>
  <property fmtid="{D5CDD505-2E9C-101B-9397-08002B2CF9AE}" pid="9" name="&lt;Model&gt;">
    <vt:lpwstr>PR_COD_1amCom</vt:lpwstr>
  </property>
  <property fmtid="{D5CDD505-2E9C-101B-9397-08002B2CF9AE}" pid="10" name="FooterPath">
    <vt:lpwstr>PR\1164155EN.docx</vt:lpwstr>
  </property>
  <property fmtid="{D5CDD505-2E9C-101B-9397-08002B2CF9AE}" pid="11" name="PE number">
    <vt:lpwstr>628.440</vt:lpwstr>
  </property>
  <property fmtid="{D5CDD505-2E9C-101B-9397-08002B2CF9AE}" pid="12" name="SubscribeElise">
    <vt:lpwstr/>
  </property>
  <property fmtid="{D5CDD505-2E9C-101B-9397-08002B2CF9AE}" pid="13" name="SendToEpades">
    <vt:lpwstr>OK - 2018/09/28 14:09</vt:lpwstr>
  </property>
</Properties>
</file>